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D9820" w14:textId="77777777" w:rsidR="00554DF9" w:rsidRPr="00A66D7A" w:rsidRDefault="00554DF9" w:rsidP="003B47EB">
      <w:pPr>
        <w:spacing w:line="276" w:lineRule="auto"/>
        <w:jc w:val="right"/>
        <w:rPr>
          <w:sz w:val="22"/>
          <w:szCs w:val="22"/>
        </w:rPr>
      </w:pPr>
      <w:bookmarkStart w:id="0" w:name="_GoBack"/>
      <w:bookmarkEnd w:id="0"/>
    </w:p>
    <w:p w14:paraId="79F1D299" w14:textId="77777777" w:rsidR="006E76EC" w:rsidRPr="00A66D7A" w:rsidRDefault="000251AB" w:rsidP="003B47EB">
      <w:pPr>
        <w:spacing w:line="276" w:lineRule="auto"/>
        <w:jc w:val="right"/>
        <w:rPr>
          <w:sz w:val="22"/>
          <w:szCs w:val="22"/>
        </w:rPr>
      </w:pPr>
      <w:r w:rsidRPr="00A66D7A">
        <w:rPr>
          <w:sz w:val="22"/>
          <w:szCs w:val="22"/>
        </w:rPr>
        <w:t xml:space="preserve">Kraków, dnia </w:t>
      </w:r>
      <w:r w:rsidR="00DE4A21" w:rsidRPr="00A66D7A">
        <w:rPr>
          <w:sz w:val="22"/>
          <w:szCs w:val="22"/>
        </w:rPr>
        <w:t>10</w:t>
      </w:r>
      <w:r w:rsidR="0013464A" w:rsidRPr="00A66D7A">
        <w:rPr>
          <w:sz w:val="22"/>
          <w:szCs w:val="22"/>
        </w:rPr>
        <w:t xml:space="preserve"> czerwca</w:t>
      </w:r>
      <w:r w:rsidR="00AC07BF" w:rsidRPr="00A66D7A">
        <w:rPr>
          <w:sz w:val="22"/>
          <w:szCs w:val="22"/>
        </w:rPr>
        <w:t xml:space="preserve"> 2022 r.</w:t>
      </w:r>
    </w:p>
    <w:p w14:paraId="4D2922A7" w14:textId="77777777" w:rsidR="006E76EC" w:rsidRPr="00A66D7A" w:rsidRDefault="006E76EC" w:rsidP="003B47EB">
      <w:pPr>
        <w:spacing w:line="276" w:lineRule="auto"/>
        <w:jc w:val="both"/>
        <w:rPr>
          <w:b/>
          <w:sz w:val="22"/>
          <w:szCs w:val="22"/>
        </w:rPr>
      </w:pPr>
    </w:p>
    <w:p w14:paraId="3E23503D" w14:textId="77777777" w:rsidR="006E76EC" w:rsidRPr="00A66D7A" w:rsidRDefault="000251AB" w:rsidP="003B47EB">
      <w:pPr>
        <w:spacing w:line="276" w:lineRule="auto"/>
        <w:rPr>
          <w:b/>
          <w:bCs/>
          <w:sz w:val="22"/>
          <w:szCs w:val="22"/>
        </w:rPr>
      </w:pPr>
      <w:r w:rsidRPr="00A66D7A">
        <w:rPr>
          <w:sz w:val="22"/>
          <w:szCs w:val="22"/>
        </w:rPr>
        <w:br/>
      </w:r>
      <w:r w:rsidRPr="00A66D7A">
        <w:rPr>
          <w:b/>
          <w:bCs/>
          <w:sz w:val="22"/>
          <w:szCs w:val="22"/>
        </w:rPr>
        <w:t>Daniel Olechnowicz</w:t>
      </w:r>
      <w:r w:rsidR="00D24A0B" w:rsidRPr="00A66D7A">
        <w:rPr>
          <w:b/>
          <w:bCs/>
          <w:sz w:val="22"/>
          <w:szCs w:val="22"/>
        </w:rPr>
        <w:br/>
      </w:r>
      <w:r w:rsidRPr="00A66D7A">
        <w:rPr>
          <w:b/>
          <w:bCs/>
          <w:sz w:val="22"/>
          <w:szCs w:val="22"/>
        </w:rPr>
        <w:t>Przewodniczący Porozumienia</w:t>
      </w:r>
      <w:r w:rsidR="00605B90" w:rsidRPr="00A66D7A">
        <w:rPr>
          <w:b/>
          <w:bCs/>
          <w:sz w:val="22"/>
          <w:szCs w:val="22"/>
        </w:rPr>
        <w:br/>
      </w:r>
      <w:r w:rsidRPr="00A66D7A">
        <w:rPr>
          <w:b/>
          <w:bCs/>
          <w:sz w:val="22"/>
          <w:szCs w:val="22"/>
        </w:rPr>
        <w:t>Akcjonariuszy</w:t>
      </w:r>
      <w:r w:rsidR="00605B90" w:rsidRPr="00A66D7A">
        <w:rPr>
          <w:b/>
          <w:bCs/>
          <w:sz w:val="22"/>
          <w:szCs w:val="22"/>
        </w:rPr>
        <w:t xml:space="preserve"> </w:t>
      </w:r>
      <w:r w:rsidRPr="00A66D7A">
        <w:rPr>
          <w:b/>
          <w:bCs/>
          <w:sz w:val="22"/>
          <w:szCs w:val="22"/>
        </w:rPr>
        <w:t>Spółki Akcyjnej Elektrim</w:t>
      </w:r>
      <w:r w:rsidRPr="00A66D7A">
        <w:rPr>
          <w:bCs/>
          <w:sz w:val="22"/>
          <w:szCs w:val="22"/>
        </w:rPr>
        <w:br/>
      </w:r>
      <w:r w:rsidRPr="00A66D7A">
        <w:rPr>
          <w:bCs/>
          <w:i/>
          <w:sz w:val="22"/>
          <w:szCs w:val="22"/>
        </w:rPr>
        <w:t xml:space="preserve">reprezentowany przez </w:t>
      </w:r>
      <w:r w:rsidRPr="00A66D7A">
        <w:rPr>
          <w:bCs/>
          <w:i/>
          <w:sz w:val="22"/>
          <w:szCs w:val="22"/>
        </w:rPr>
        <w:br/>
      </w:r>
      <w:r w:rsidRPr="00A66D7A">
        <w:rPr>
          <w:bCs/>
          <w:sz w:val="22"/>
          <w:szCs w:val="22"/>
        </w:rPr>
        <w:t xml:space="preserve">radcę prawnego </w:t>
      </w:r>
      <w:r w:rsidRPr="00A66D7A">
        <w:rPr>
          <w:b/>
          <w:bCs/>
          <w:sz w:val="22"/>
          <w:szCs w:val="22"/>
        </w:rPr>
        <w:t>Jakuba Ciborowskiego</w:t>
      </w:r>
      <w:r w:rsidRPr="00A66D7A">
        <w:rPr>
          <w:bCs/>
          <w:sz w:val="22"/>
          <w:szCs w:val="22"/>
        </w:rPr>
        <w:br/>
        <w:t>Kancelaria Radcy Prawnego</w:t>
      </w:r>
      <w:r w:rsidRPr="00A66D7A">
        <w:rPr>
          <w:bCs/>
          <w:sz w:val="22"/>
          <w:szCs w:val="22"/>
        </w:rPr>
        <w:br/>
        <w:t>ul. Starowiślna 83/5, 31-052 Kraków</w:t>
      </w:r>
      <w:r w:rsidRPr="00A66D7A">
        <w:rPr>
          <w:bCs/>
          <w:sz w:val="22"/>
          <w:szCs w:val="22"/>
        </w:rPr>
        <w:br/>
        <w:t xml:space="preserve">e-PUAP: </w:t>
      </w:r>
      <w:r w:rsidR="00B37361" w:rsidRPr="00A66D7A">
        <w:rPr>
          <w:bCs/>
          <w:sz w:val="22"/>
          <w:szCs w:val="22"/>
        </w:rPr>
        <w:t>/</w:t>
      </w:r>
      <w:r w:rsidRPr="00A66D7A">
        <w:rPr>
          <w:bCs/>
          <w:sz w:val="22"/>
          <w:szCs w:val="22"/>
        </w:rPr>
        <w:t>ciboro1</w:t>
      </w:r>
      <w:r w:rsidR="00B37361" w:rsidRPr="00A66D7A">
        <w:rPr>
          <w:bCs/>
          <w:sz w:val="22"/>
          <w:szCs w:val="22"/>
        </w:rPr>
        <w:t>/</w:t>
      </w:r>
    </w:p>
    <w:p w14:paraId="6BC9F964" w14:textId="77777777" w:rsidR="00EE082C" w:rsidRPr="00A66D7A" w:rsidRDefault="00EE082C" w:rsidP="00955C79">
      <w:pPr>
        <w:spacing w:line="276" w:lineRule="auto"/>
        <w:ind w:left="4536"/>
        <w:rPr>
          <w:b/>
          <w:bCs/>
          <w:sz w:val="22"/>
          <w:szCs w:val="22"/>
        </w:rPr>
      </w:pPr>
      <w:r w:rsidRPr="00A66D7A">
        <w:rPr>
          <w:b/>
          <w:bCs/>
          <w:sz w:val="22"/>
          <w:szCs w:val="22"/>
        </w:rPr>
        <w:t>Pan Piotr Patkowski</w:t>
      </w:r>
      <w:r w:rsidRPr="00A66D7A">
        <w:rPr>
          <w:b/>
          <w:bCs/>
          <w:sz w:val="22"/>
          <w:szCs w:val="22"/>
        </w:rPr>
        <w:br/>
        <w:t>Podsekretarz Stanu</w:t>
      </w:r>
      <w:r w:rsidRPr="00A66D7A">
        <w:rPr>
          <w:b/>
          <w:bCs/>
          <w:sz w:val="22"/>
          <w:szCs w:val="22"/>
        </w:rPr>
        <w:br/>
        <w:t>Ministerstwo Finansów</w:t>
      </w:r>
      <w:r w:rsidRPr="00A66D7A">
        <w:rPr>
          <w:b/>
          <w:bCs/>
          <w:sz w:val="22"/>
          <w:szCs w:val="22"/>
        </w:rPr>
        <w:br/>
      </w:r>
      <w:r w:rsidRPr="00A66D7A">
        <w:rPr>
          <w:sz w:val="22"/>
          <w:szCs w:val="22"/>
        </w:rPr>
        <w:t>ul. Świętokrzyska 12, 00-916 Warszawa</w:t>
      </w:r>
      <w:r w:rsidRPr="00A66D7A">
        <w:rPr>
          <w:sz w:val="22"/>
          <w:szCs w:val="22"/>
        </w:rPr>
        <w:br/>
        <w:t>e-PUAP:  /bx1qpt265q/skrytka</w:t>
      </w:r>
    </w:p>
    <w:p w14:paraId="3E716B3D" w14:textId="77777777" w:rsidR="006D0160" w:rsidRPr="00A66D7A" w:rsidRDefault="006D0160" w:rsidP="003B47EB">
      <w:pPr>
        <w:spacing w:line="276" w:lineRule="auto"/>
        <w:ind w:left="4536"/>
        <w:rPr>
          <w:sz w:val="22"/>
          <w:szCs w:val="22"/>
          <w:u w:val="single"/>
        </w:rPr>
      </w:pPr>
    </w:p>
    <w:p w14:paraId="202BCB05" w14:textId="77777777" w:rsidR="00F728A5" w:rsidRPr="00A66D7A" w:rsidRDefault="00493B5F" w:rsidP="003B47EB">
      <w:pPr>
        <w:spacing w:line="276" w:lineRule="auto"/>
        <w:rPr>
          <w:sz w:val="22"/>
          <w:szCs w:val="22"/>
          <w:u w:val="single"/>
        </w:rPr>
      </w:pPr>
      <w:r w:rsidRPr="00A66D7A">
        <w:rPr>
          <w:sz w:val="22"/>
          <w:szCs w:val="22"/>
          <w:u w:val="single"/>
        </w:rPr>
        <w:t>Znak sprawy: FN3.056.2.2022</w:t>
      </w:r>
    </w:p>
    <w:p w14:paraId="4B1839B6" w14:textId="77777777" w:rsidR="00D5292A" w:rsidRPr="00A66D7A" w:rsidRDefault="00D5292A" w:rsidP="003B47EB">
      <w:pPr>
        <w:spacing w:line="276" w:lineRule="auto"/>
        <w:rPr>
          <w:sz w:val="22"/>
          <w:szCs w:val="22"/>
          <w:u w:val="single"/>
        </w:rPr>
      </w:pPr>
    </w:p>
    <w:p w14:paraId="7B6ACC1D" w14:textId="77777777" w:rsidR="000E1B41" w:rsidRPr="00A66D7A" w:rsidRDefault="000E1B41" w:rsidP="003B47EB">
      <w:pPr>
        <w:spacing w:line="276" w:lineRule="auto"/>
        <w:rPr>
          <w:sz w:val="22"/>
          <w:szCs w:val="22"/>
          <w:u w:val="single"/>
        </w:rPr>
      </w:pPr>
    </w:p>
    <w:p w14:paraId="4B255BF0" w14:textId="77777777" w:rsidR="006E76EC" w:rsidRPr="00A66D7A" w:rsidRDefault="00D2555B" w:rsidP="003B47EB">
      <w:pPr>
        <w:spacing w:line="276" w:lineRule="auto"/>
        <w:jc w:val="center"/>
        <w:rPr>
          <w:b/>
          <w:sz w:val="22"/>
          <w:szCs w:val="22"/>
        </w:rPr>
      </w:pPr>
      <w:r w:rsidRPr="00A66D7A">
        <w:rPr>
          <w:b/>
          <w:sz w:val="22"/>
          <w:szCs w:val="22"/>
          <w:u w:val="single"/>
        </w:rPr>
        <w:t>PISMO</w:t>
      </w:r>
      <w:r w:rsidR="004B7D8D" w:rsidRPr="00A66D7A">
        <w:rPr>
          <w:b/>
          <w:sz w:val="22"/>
          <w:szCs w:val="22"/>
          <w:u w:val="single"/>
        </w:rPr>
        <w:br/>
      </w:r>
      <w:r w:rsidR="004B7D8D" w:rsidRPr="00A66D7A">
        <w:rPr>
          <w:b/>
          <w:sz w:val="22"/>
          <w:szCs w:val="22"/>
        </w:rPr>
        <w:t>uzupełniające stanowisko zawarte w petycji</w:t>
      </w:r>
    </w:p>
    <w:p w14:paraId="7344D323" w14:textId="77777777" w:rsidR="001A4043" w:rsidRPr="00A66D7A" w:rsidRDefault="008F1053" w:rsidP="003B47EB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rFonts w:eastAsia="Calibri"/>
          <w:sz w:val="22"/>
          <w:szCs w:val="22"/>
        </w:rPr>
        <w:t>Działając w imieniu Daniela Olechnowicza – Przewodniczącego Porozumienia Akcjonariuszy Spółki Akcyjnej Elektrim</w:t>
      </w:r>
      <w:r w:rsidR="00976612" w:rsidRPr="00A66D7A">
        <w:rPr>
          <w:rFonts w:eastAsia="Calibri"/>
          <w:sz w:val="22"/>
          <w:szCs w:val="22"/>
        </w:rPr>
        <w:t xml:space="preserve"> </w:t>
      </w:r>
      <w:r w:rsidR="006D0160" w:rsidRPr="00A66D7A">
        <w:rPr>
          <w:rFonts w:eastAsia="Calibri"/>
          <w:sz w:val="22"/>
          <w:szCs w:val="22"/>
        </w:rPr>
        <w:t xml:space="preserve">(pełnomocnictwo w </w:t>
      </w:r>
      <w:r w:rsidR="00C711B1" w:rsidRPr="00A66D7A">
        <w:rPr>
          <w:rFonts w:eastAsia="Calibri"/>
          <w:sz w:val="22"/>
          <w:szCs w:val="22"/>
        </w:rPr>
        <w:t>aktach sprawy</w:t>
      </w:r>
      <w:r w:rsidR="006D0160" w:rsidRPr="00A66D7A">
        <w:rPr>
          <w:rFonts w:eastAsia="Calibri"/>
          <w:sz w:val="22"/>
          <w:szCs w:val="22"/>
        </w:rPr>
        <w:t>)</w:t>
      </w:r>
      <w:r w:rsidR="000E1B41" w:rsidRPr="00A66D7A">
        <w:rPr>
          <w:rFonts w:eastAsia="Calibri"/>
          <w:sz w:val="22"/>
          <w:szCs w:val="22"/>
        </w:rPr>
        <w:t>,</w:t>
      </w:r>
      <w:r w:rsidR="001B5E61" w:rsidRPr="00A66D7A">
        <w:rPr>
          <w:sz w:val="22"/>
          <w:szCs w:val="22"/>
        </w:rPr>
        <w:t xml:space="preserve"> </w:t>
      </w:r>
      <w:r w:rsidR="000213F9" w:rsidRPr="00A66D7A">
        <w:rPr>
          <w:sz w:val="22"/>
          <w:szCs w:val="22"/>
        </w:rPr>
        <w:t xml:space="preserve">w nawiązaniu </w:t>
      </w:r>
      <w:r w:rsidR="00945D95" w:rsidRPr="00A66D7A">
        <w:rPr>
          <w:sz w:val="22"/>
          <w:szCs w:val="22"/>
        </w:rPr>
        <w:t>do</w:t>
      </w:r>
      <w:r w:rsidR="001A4043" w:rsidRPr="00A66D7A">
        <w:rPr>
          <w:sz w:val="22"/>
          <w:szCs w:val="22"/>
        </w:rPr>
        <w:t xml:space="preserve"> </w:t>
      </w:r>
      <w:r w:rsidR="00D61E02" w:rsidRPr="00A66D7A">
        <w:rPr>
          <w:sz w:val="22"/>
          <w:szCs w:val="22"/>
        </w:rPr>
        <w:t>stanowiska Urzędu Ko</w:t>
      </w:r>
      <w:r w:rsidR="00493B5F" w:rsidRPr="00A66D7A">
        <w:rPr>
          <w:sz w:val="22"/>
          <w:szCs w:val="22"/>
        </w:rPr>
        <w:t xml:space="preserve">misji Nadzoru Finansowego zaprezentowanego w piśmie </w:t>
      </w:r>
      <w:r w:rsidR="001A4043" w:rsidRPr="00A66D7A">
        <w:rPr>
          <w:sz w:val="22"/>
          <w:szCs w:val="22"/>
        </w:rPr>
        <w:t xml:space="preserve">z dnia 31 maja 2022 r. znak </w:t>
      </w:r>
      <w:r w:rsidR="00941059" w:rsidRPr="00A66D7A">
        <w:rPr>
          <w:sz w:val="22"/>
          <w:szCs w:val="22"/>
        </w:rPr>
        <w:t>DPP-DPPZO2.0211.7.2022.MK</w:t>
      </w:r>
      <w:r w:rsidR="004F78AA" w:rsidRPr="00A66D7A">
        <w:rPr>
          <w:sz w:val="22"/>
          <w:szCs w:val="22"/>
        </w:rPr>
        <w:t xml:space="preserve">, a </w:t>
      </w:r>
      <w:r w:rsidR="00955C79" w:rsidRPr="00A66D7A">
        <w:rPr>
          <w:sz w:val="22"/>
          <w:szCs w:val="22"/>
        </w:rPr>
        <w:t>stanowiącego odpowiedź na petycję z dnia 12 kwietnia 2022 r</w:t>
      </w:r>
      <w:r w:rsidR="000E1B41" w:rsidRPr="00A66D7A">
        <w:rPr>
          <w:sz w:val="22"/>
          <w:szCs w:val="22"/>
        </w:rPr>
        <w:t>,</w:t>
      </w:r>
      <w:r w:rsidR="009967E7" w:rsidRPr="00A66D7A">
        <w:rPr>
          <w:sz w:val="22"/>
          <w:szCs w:val="22"/>
        </w:rPr>
        <w:t xml:space="preserve"> poniżej przedstawiam </w:t>
      </w:r>
      <w:r w:rsidR="000E1B41" w:rsidRPr="00A66D7A">
        <w:rPr>
          <w:sz w:val="22"/>
          <w:szCs w:val="22"/>
        </w:rPr>
        <w:t>aktualne stanowisko w sprawie.</w:t>
      </w:r>
    </w:p>
    <w:p w14:paraId="3264D476" w14:textId="77777777" w:rsidR="004660F9" w:rsidRPr="00A66D7A" w:rsidRDefault="00E130BE" w:rsidP="003B47EB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>Nawiązując do</w:t>
      </w:r>
      <w:r w:rsidR="00C55910" w:rsidRPr="00A66D7A">
        <w:rPr>
          <w:sz w:val="22"/>
          <w:szCs w:val="22"/>
        </w:rPr>
        <w:t xml:space="preserve"> </w:t>
      </w:r>
      <w:r w:rsidR="003D056F" w:rsidRPr="00A66D7A">
        <w:rPr>
          <w:sz w:val="22"/>
          <w:szCs w:val="22"/>
        </w:rPr>
        <w:t>twierdzeń</w:t>
      </w:r>
      <w:r w:rsidR="00C55910" w:rsidRPr="00A66D7A">
        <w:rPr>
          <w:sz w:val="22"/>
          <w:szCs w:val="22"/>
        </w:rPr>
        <w:t xml:space="preserve"> Urzędu Komisji Nadzoru Finansowego</w:t>
      </w:r>
      <w:r w:rsidR="00F51DDC" w:rsidRPr="00A66D7A">
        <w:rPr>
          <w:sz w:val="22"/>
          <w:szCs w:val="22"/>
        </w:rPr>
        <w:t xml:space="preserve"> jakoby przedłożone w petycji postulaty legi</w:t>
      </w:r>
      <w:r w:rsidR="008659CA" w:rsidRPr="00A66D7A">
        <w:rPr>
          <w:sz w:val="22"/>
          <w:szCs w:val="22"/>
        </w:rPr>
        <w:t xml:space="preserve">slacyjne </w:t>
      </w:r>
      <w:r w:rsidR="002D7718" w:rsidRPr="00A66D7A">
        <w:rPr>
          <w:sz w:val="22"/>
          <w:szCs w:val="22"/>
        </w:rPr>
        <w:t>nadawały akcjonariuszom mniejszościowym Elektrim S.A. daleko idące uprawnienia dopasowane</w:t>
      </w:r>
      <w:r w:rsidR="00344AEF" w:rsidRPr="00A66D7A">
        <w:rPr>
          <w:sz w:val="22"/>
          <w:szCs w:val="22"/>
        </w:rPr>
        <w:t xml:space="preserve"> przede wszystkich</w:t>
      </w:r>
      <w:r w:rsidR="002D7718" w:rsidRPr="00A66D7A">
        <w:rPr>
          <w:sz w:val="22"/>
          <w:szCs w:val="22"/>
        </w:rPr>
        <w:t xml:space="preserve"> do ich konkretnego stanu faktycznego,</w:t>
      </w:r>
      <w:r w:rsidR="008F4682" w:rsidRPr="00A66D7A">
        <w:rPr>
          <w:sz w:val="22"/>
          <w:szCs w:val="22"/>
        </w:rPr>
        <w:t xml:space="preserve"> a także jakoby </w:t>
      </w:r>
      <w:r w:rsidR="008659CA" w:rsidRPr="00A66D7A">
        <w:rPr>
          <w:sz w:val="22"/>
          <w:szCs w:val="22"/>
        </w:rPr>
        <w:t>naruszały zasadę równego traktowania akcjonariuszy mniejszościowych</w:t>
      </w:r>
      <w:r w:rsidR="00D5292A" w:rsidRPr="00A66D7A">
        <w:rPr>
          <w:sz w:val="22"/>
          <w:szCs w:val="22"/>
        </w:rPr>
        <w:t xml:space="preserve">, </w:t>
      </w:r>
      <w:r w:rsidR="008F4682" w:rsidRPr="00A66D7A">
        <w:rPr>
          <w:sz w:val="22"/>
          <w:szCs w:val="22"/>
        </w:rPr>
        <w:t>wyjaśniam</w:t>
      </w:r>
      <w:r w:rsidR="00D5292A" w:rsidRPr="00A66D7A">
        <w:rPr>
          <w:sz w:val="22"/>
          <w:szCs w:val="22"/>
        </w:rPr>
        <w:t xml:space="preserve"> </w:t>
      </w:r>
      <w:r w:rsidR="008F4682" w:rsidRPr="00A66D7A">
        <w:rPr>
          <w:sz w:val="22"/>
          <w:szCs w:val="22"/>
        </w:rPr>
        <w:t>co następuje.</w:t>
      </w:r>
    </w:p>
    <w:p w14:paraId="61377853" w14:textId="15775579" w:rsidR="008A64B4" w:rsidRPr="00A66D7A" w:rsidRDefault="008F4682" w:rsidP="003B47EB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 xml:space="preserve">Na wstępie </w:t>
      </w:r>
      <w:r w:rsidR="008837D0" w:rsidRPr="00A66D7A">
        <w:rPr>
          <w:sz w:val="22"/>
          <w:szCs w:val="22"/>
        </w:rPr>
        <w:t>wskazuję</w:t>
      </w:r>
      <w:r w:rsidRPr="00A66D7A">
        <w:rPr>
          <w:sz w:val="22"/>
          <w:szCs w:val="22"/>
        </w:rPr>
        <w:t xml:space="preserve">, iż głównym powodem wystąpienia przedstawionego w petycji z dnia 12 kwietnia 2022 r. była okoliczność braku </w:t>
      </w:r>
      <w:r w:rsidR="00942651" w:rsidRPr="00A66D7A">
        <w:rPr>
          <w:sz w:val="22"/>
          <w:szCs w:val="22"/>
        </w:rPr>
        <w:t>realne</w:t>
      </w:r>
      <w:r w:rsidR="00C34C0A" w:rsidRPr="00A66D7A">
        <w:rPr>
          <w:sz w:val="22"/>
          <w:szCs w:val="22"/>
        </w:rPr>
        <w:t>go</w:t>
      </w:r>
      <w:r w:rsidRPr="00A66D7A">
        <w:rPr>
          <w:sz w:val="22"/>
          <w:szCs w:val="22"/>
        </w:rPr>
        <w:t xml:space="preserve"> wpływu akcjonariuszy mniejszościowych</w:t>
      </w:r>
      <w:r w:rsidR="003B4DE4" w:rsidRPr="00A66D7A">
        <w:rPr>
          <w:sz w:val="22"/>
          <w:szCs w:val="22"/>
        </w:rPr>
        <w:t xml:space="preserve"> na </w:t>
      </w:r>
      <w:r w:rsidR="00942651" w:rsidRPr="00A66D7A">
        <w:rPr>
          <w:sz w:val="22"/>
          <w:szCs w:val="22"/>
        </w:rPr>
        <w:t>decyzj</w:t>
      </w:r>
      <w:r w:rsidR="00C34C0A" w:rsidRPr="00A66D7A">
        <w:rPr>
          <w:sz w:val="22"/>
          <w:szCs w:val="22"/>
        </w:rPr>
        <w:t>e</w:t>
      </w:r>
      <w:r w:rsidR="00942651" w:rsidRPr="00A66D7A">
        <w:rPr>
          <w:sz w:val="22"/>
          <w:szCs w:val="22"/>
        </w:rPr>
        <w:t xml:space="preserve"> i działania</w:t>
      </w:r>
      <w:r w:rsidR="003B4DE4" w:rsidRPr="00A66D7A">
        <w:rPr>
          <w:sz w:val="22"/>
          <w:szCs w:val="22"/>
        </w:rPr>
        <w:t xml:space="preserve"> podejmowane w spółce przez głównego akcjonariusza, które w głównej mierze umotywowane </w:t>
      </w:r>
      <w:r w:rsidR="00C34C0A" w:rsidRPr="00A66D7A">
        <w:rPr>
          <w:sz w:val="22"/>
          <w:szCs w:val="22"/>
        </w:rPr>
        <w:t>pozosta</w:t>
      </w:r>
      <w:r w:rsidR="00DF6160" w:rsidRPr="00A66D7A">
        <w:rPr>
          <w:sz w:val="22"/>
          <w:szCs w:val="22"/>
        </w:rPr>
        <w:t>wały</w:t>
      </w:r>
      <w:r w:rsidR="00886C9B" w:rsidRPr="00A66D7A">
        <w:rPr>
          <w:sz w:val="22"/>
          <w:szCs w:val="22"/>
        </w:rPr>
        <w:t xml:space="preserve"> </w:t>
      </w:r>
      <w:r w:rsidR="008A64B4" w:rsidRPr="00A66D7A">
        <w:rPr>
          <w:sz w:val="22"/>
          <w:szCs w:val="22"/>
        </w:rPr>
        <w:t>dbałością o interes majątkowy</w:t>
      </w:r>
      <w:r w:rsidR="00886C9B" w:rsidRPr="00A66D7A">
        <w:rPr>
          <w:sz w:val="22"/>
          <w:szCs w:val="22"/>
        </w:rPr>
        <w:t xml:space="preserve"> podmiotów</w:t>
      </w:r>
      <w:r w:rsidR="00683083" w:rsidRPr="00A66D7A">
        <w:rPr>
          <w:sz w:val="22"/>
          <w:szCs w:val="22"/>
        </w:rPr>
        <w:t xml:space="preserve"> powiązanych</w:t>
      </w:r>
      <w:r w:rsidR="00886C9B" w:rsidRPr="00A66D7A">
        <w:rPr>
          <w:sz w:val="22"/>
          <w:szCs w:val="22"/>
        </w:rPr>
        <w:t xml:space="preserve"> z głównym akcjonariuszem</w:t>
      </w:r>
      <w:r w:rsidR="00A35EC6" w:rsidRPr="00A66D7A">
        <w:rPr>
          <w:sz w:val="22"/>
          <w:szCs w:val="22"/>
        </w:rPr>
        <w:t xml:space="preserve">, przy jednoczesnym braku możliwości wystąpienia </w:t>
      </w:r>
      <w:r w:rsidR="008A64B4" w:rsidRPr="00A66D7A">
        <w:rPr>
          <w:sz w:val="22"/>
          <w:szCs w:val="22"/>
        </w:rPr>
        <w:t>przez akcjonariuszy mniejszościowyc</w:t>
      </w:r>
      <w:r w:rsidR="00CF65C9" w:rsidRPr="00A66D7A">
        <w:rPr>
          <w:sz w:val="22"/>
          <w:szCs w:val="22"/>
        </w:rPr>
        <w:t xml:space="preserve">h </w:t>
      </w:r>
      <w:r w:rsidR="00A35EC6" w:rsidRPr="00A66D7A">
        <w:rPr>
          <w:sz w:val="22"/>
          <w:szCs w:val="22"/>
        </w:rPr>
        <w:t>ze spółki na warunkach</w:t>
      </w:r>
      <w:r w:rsidR="006131AF" w:rsidRPr="00A66D7A">
        <w:rPr>
          <w:sz w:val="22"/>
          <w:szCs w:val="22"/>
        </w:rPr>
        <w:t xml:space="preserve"> </w:t>
      </w:r>
      <w:r w:rsidR="001F2546" w:rsidRPr="00A66D7A">
        <w:rPr>
          <w:sz w:val="22"/>
          <w:szCs w:val="22"/>
        </w:rPr>
        <w:t xml:space="preserve">finansowych </w:t>
      </w:r>
      <w:r w:rsidR="006131AF" w:rsidRPr="00A66D7A">
        <w:rPr>
          <w:sz w:val="22"/>
          <w:szCs w:val="22"/>
        </w:rPr>
        <w:t xml:space="preserve">odpowiadających </w:t>
      </w:r>
      <w:r w:rsidR="00B476B3" w:rsidRPr="00A66D7A">
        <w:rPr>
          <w:sz w:val="22"/>
          <w:szCs w:val="22"/>
        </w:rPr>
        <w:t xml:space="preserve">przynajmniej </w:t>
      </w:r>
      <w:r w:rsidR="006131AF" w:rsidRPr="00A66D7A">
        <w:rPr>
          <w:sz w:val="22"/>
          <w:szCs w:val="22"/>
        </w:rPr>
        <w:t>wartości</w:t>
      </w:r>
      <w:r w:rsidR="003A7F03" w:rsidRPr="00A66D7A">
        <w:rPr>
          <w:sz w:val="22"/>
          <w:szCs w:val="22"/>
        </w:rPr>
        <w:t xml:space="preserve"> netto majątku spółki</w:t>
      </w:r>
      <w:r w:rsidR="00886C9B" w:rsidRPr="00A66D7A">
        <w:rPr>
          <w:sz w:val="22"/>
          <w:szCs w:val="22"/>
        </w:rPr>
        <w:t xml:space="preserve">. </w:t>
      </w:r>
    </w:p>
    <w:p w14:paraId="280FF09B" w14:textId="77777777" w:rsidR="00C34C0A" w:rsidRPr="00A66D7A" w:rsidRDefault="00BB0645" w:rsidP="003B47EB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>Zauważyć przy tym należy, iż w</w:t>
      </w:r>
      <w:r w:rsidR="00810C62" w:rsidRPr="00A66D7A">
        <w:rPr>
          <w:sz w:val="22"/>
          <w:szCs w:val="22"/>
        </w:rPr>
        <w:t xml:space="preserve"> piśmie z dnia 26 maja 2022 r. zostały </w:t>
      </w:r>
      <w:r w:rsidR="00D30237" w:rsidRPr="00A66D7A">
        <w:rPr>
          <w:sz w:val="22"/>
          <w:szCs w:val="22"/>
        </w:rPr>
        <w:t>opisane nowe</w:t>
      </w:r>
      <w:r w:rsidR="00810C62" w:rsidRPr="00A66D7A">
        <w:rPr>
          <w:sz w:val="22"/>
          <w:szCs w:val="22"/>
        </w:rPr>
        <w:t xml:space="preserve"> okoliczności potwierdzające, iż </w:t>
      </w:r>
      <w:r w:rsidR="007C739D" w:rsidRPr="00A66D7A">
        <w:rPr>
          <w:sz w:val="22"/>
          <w:szCs w:val="22"/>
        </w:rPr>
        <w:t>w ostatnich miesiącach</w:t>
      </w:r>
      <w:r w:rsidR="00810C62" w:rsidRPr="00A66D7A">
        <w:rPr>
          <w:sz w:val="22"/>
          <w:szCs w:val="22"/>
        </w:rPr>
        <w:t xml:space="preserve"> </w:t>
      </w:r>
      <w:r w:rsidR="00C34C0A" w:rsidRPr="00A66D7A">
        <w:rPr>
          <w:sz w:val="22"/>
          <w:szCs w:val="22"/>
        </w:rPr>
        <w:t xml:space="preserve">b.r. </w:t>
      </w:r>
      <w:r w:rsidR="00810C62" w:rsidRPr="00A66D7A">
        <w:rPr>
          <w:sz w:val="22"/>
          <w:szCs w:val="22"/>
        </w:rPr>
        <w:t>stopniowo transferowane</w:t>
      </w:r>
      <w:r w:rsidR="006124C3" w:rsidRPr="00A66D7A">
        <w:rPr>
          <w:sz w:val="22"/>
          <w:szCs w:val="22"/>
        </w:rPr>
        <w:t xml:space="preserve"> były</w:t>
      </w:r>
      <w:r w:rsidR="00923397" w:rsidRPr="00A66D7A">
        <w:rPr>
          <w:sz w:val="22"/>
          <w:szCs w:val="22"/>
        </w:rPr>
        <w:t xml:space="preserve"> do</w:t>
      </w:r>
      <w:r w:rsidR="00810C62" w:rsidRPr="00A66D7A">
        <w:rPr>
          <w:sz w:val="22"/>
          <w:szCs w:val="22"/>
        </w:rPr>
        <w:t xml:space="preserve"> </w:t>
      </w:r>
      <w:r w:rsidR="00D30237" w:rsidRPr="00A66D7A">
        <w:rPr>
          <w:sz w:val="22"/>
          <w:szCs w:val="22"/>
        </w:rPr>
        <w:t>kontrolowanej</w:t>
      </w:r>
      <w:r w:rsidR="00810C62" w:rsidRPr="00A66D7A">
        <w:rPr>
          <w:sz w:val="22"/>
          <w:szCs w:val="22"/>
        </w:rPr>
        <w:t xml:space="preserve"> przez głównego akcjonariusza</w:t>
      </w:r>
      <w:r w:rsidR="006124C3" w:rsidRPr="00A66D7A">
        <w:rPr>
          <w:sz w:val="22"/>
          <w:szCs w:val="22"/>
        </w:rPr>
        <w:t xml:space="preserve"> </w:t>
      </w:r>
      <w:r w:rsidR="003D3051" w:rsidRPr="00A66D7A">
        <w:rPr>
          <w:sz w:val="22"/>
          <w:szCs w:val="22"/>
        </w:rPr>
        <w:t xml:space="preserve">Grupy Polsat Plus </w:t>
      </w:r>
      <w:r w:rsidR="006124C3" w:rsidRPr="00A66D7A">
        <w:rPr>
          <w:sz w:val="22"/>
          <w:szCs w:val="22"/>
        </w:rPr>
        <w:t>kolejne istotne składniki majątku</w:t>
      </w:r>
      <w:r w:rsidR="003D3051" w:rsidRPr="00A66D7A">
        <w:rPr>
          <w:sz w:val="22"/>
          <w:szCs w:val="22"/>
        </w:rPr>
        <w:t xml:space="preserve"> Grupy</w:t>
      </w:r>
      <w:r w:rsidR="006124C3" w:rsidRPr="00A66D7A">
        <w:rPr>
          <w:sz w:val="22"/>
          <w:szCs w:val="22"/>
        </w:rPr>
        <w:t xml:space="preserve"> Elektrim, </w:t>
      </w:r>
      <w:r w:rsidR="00923397" w:rsidRPr="00A66D7A">
        <w:rPr>
          <w:sz w:val="22"/>
          <w:szCs w:val="22"/>
        </w:rPr>
        <w:t>obejmujące w szczególności:</w:t>
      </w:r>
      <w:r w:rsidR="006124C3" w:rsidRPr="00A66D7A">
        <w:rPr>
          <w:sz w:val="22"/>
          <w:szCs w:val="22"/>
        </w:rPr>
        <w:t xml:space="preserve"> udziały w Por</w:t>
      </w:r>
      <w:r w:rsidR="003D344F" w:rsidRPr="00A66D7A">
        <w:rPr>
          <w:sz w:val="22"/>
          <w:szCs w:val="22"/>
        </w:rPr>
        <w:t>cie</w:t>
      </w:r>
      <w:r w:rsidR="006124C3" w:rsidRPr="00A66D7A">
        <w:rPr>
          <w:sz w:val="22"/>
          <w:szCs w:val="22"/>
        </w:rPr>
        <w:t xml:space="preserve"> Praski</w:t>
      </w:r>
      <w:r w:rsidR="003D344F" w:rsidRPr="00A66D7A">
        <w:rPr>
          <w:sz w:val="22"/>
          <w:szCs w:val="22"/>
        </w:rPr>
        <w:t>m</w:t>
      </w:r>
      <w:r w:rsidR="003D3051" w:rsidRPr="00A66D7A">
        <w:rPr>
          <w:sz w:val="22"/>
          <w:szCs w:val="22"/>
        </w:rPr>
        <w:t xml:space="preserve"> sp. z o. o.</w:t>
      </w:r>
      <w:r w:rsidR="003D344F" w:rsidRPr="00A66D7A">
        <w:rPr>
          <w:sz w:val="22"/>
          <w:szCs w:val="22"/>
        </w:rPr>
        <w:t xml:space="preserve">, </w:t>
      </w:r>
      <w:r w:rsidR="00053353" w:rsidRPr="00A66D7A">
        <w:rPr>
          <w:sz w:val="22"/>
          <w:szCs w:val="22"/>
        </w:rPr>
        <w:t xml:space="preserve">pakiet </w:t>
      </w:r>
      <w:r w:rsidR="003D344F" w:rsidRPr="00A66D7A">
        <w:rPr>
          <w:sz w:val="22"/>
          <w:szCs w:val="22"/>
        </w:rPr>
        <w:t>akcj</w:t>
      </w:r>
      <w:r w:rsidR="00053353" w:rsidRPr="00A66D7A">
        <w:rPr>
          <w:sz w:val="22"/>
          <w:szCs w:val="22"/>
        </w:rPr>
        <w:t>i spółki</w:t>
      </w:r>
      <w:r w:rsidR="003D344F" w:rsidRPr="00A66D7A">
        <w:rPr>
          <w:sz w:val="22"/>
          <w:szCs w:val="22"/>
        </w:rPr>
        <w:t xml:space="preserve"> Cyfrowy Polsat S.A. czy przedsiębiorstwo </w:t>
      </w:r>
      <w:r w:rsidR="00190143" w:rsidRPr="00A66D7A">
        <w:rPr>
          <w:sz w:val="22"/>
          <w:szCs w:val="22"/>
        </w:rPr>
        <w:t>E</w:t>
      </w:r>
      <w:r w:rsidR="003D344F" w:rsidRPr="00A66D7A">
        <w:rPr>
          <w:sz w:val="22"/>
          <w:szCs w:val="22"/>
        </w:rPr>
        <w:t>lektrowni Konin</w:t>
      </w:r>
      <w:r w:rsidR="00200145" w:rsidRPr="00A66D7A">
        <w:rPr>
          <w:sz w:val="22"/>
          <w:szCs w:val="22"/>
        </w:rPr>
        <w:t xml:space="preserve"> stanowiące dotychczas własność </w:t>
      </w:r>
      <w:r w:rsidR="003D344F" w:rsidRPr="00A66D7A">
        <w:rPr>
          <w:sz w:val="22"/>
          <w:szCs w:val="22"/>
        </w:rPr>
        <w:t>ZE PA</w:t>
      </w:r>
      <w:r w:rsidR="00EE43F0" w:rsidRPr="00A66D7A">
        <w:rPr>
          <w:sz w:val="22"/>
          <w:szCs w:val="22"/>
        </w:rPr>
        <w:t>K</w:t>
      </w:r>
      <w:r w:rsidR="003D344F" w:rsidRPr="00A66D7A">
        <w:rPr>
          <w:sz w:val="22"/>
          <w:szCs w:val="22"/>
        </w:rPr>
        <w:t xml:space="preserve"> S.A.</w:t>
      </w:r>
    </w:p>
    <w:p w14:paraId="068E25BB" w14:textId="77777777" w:rsidR="00DF6160" w:rsidRPr="00A66D7A" w:rsidRDefault="00991A73" w:rsidP="003B47EB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lastRenderedPageBreak/>
        <w:t xml:space="preserve">Okoliczności te sprawiają, iż potrzeba </w:t>
      </w:r>
      <w:r w:rsidR="00077893" w:rsidRPr="00A66D7A">
        <w:rPr>
          <w:sz w:val="22"/>
          <w:szCs w:val="22"/>
        </w:rPr>
        <w:t xml:space="preserve">implementacji postulowanych zmian legislacyjnych ma obecnie charakter pilny. </w:t>
      </w:r>
      <w:r w:rsidR="00053353" w:rsidRPr="00A66D7A">
        <w:rPr>
          <w:sz w:val="22"/>
          <w:szCs w:val="22"/>
        </w:rPr>
        <w:t>Obecne działania głównego akcjonariusza prowadzą bowiem do utraty przez Grupę Elektrim kluczowych aktywów</w:t>
      </w:r>
      <w:r w:rsidR="00A641B0" w:rsidRPr="00A66D7A">
        <w:rPr>
          <w:sz w:val="22"/>
          <w:szCs w:val="22"/>
        </w:rPr>
        <w:t xml:space="preserve">, przy jednoczesnym braku uzasadnienia dla tego typu </w:t>
      </w:r>
      <w:r w:rsidR="00985DF2" w:rsidRPr="00A66D7A">
        <w:rPr>
          <w:sz w:val="22"/>
          <w:szCs w:val="22"/>
        </w:rPr>
        <w:t>rozporządzeń</w:t>
      </w:r>
      <w:r w:rsidR="00A641B0" w:rsidRPr="00A66D7A">
        <w:rPr>
          <w:sz w:val="22"/>
          <w:szCs w:val="22"/>
        </w:rPr>
        <w:t xml:space="preserve"> pod kątem interesów Grupy Elektrim czy </w:t>
      </w:r>
      <w:r w:rsidR="00A956B3" w:rsidRPr="00A66D7A">
        <w:rPr>
          <w:sz w:val="22"/>
          <w:szCs w:val="22"/>
        </w:rPr>
        <w:t xml:space="preserve">interesów </w:t>
      </w:r>
      <w:r w:rsidR="00A641B0" w:rsidRPr="00A66D7A">
        <w:rPr>
          <w:sz w:val="22"/>
          <w:szCs w:val="22"/>
        </w:rPr>
        <w:t>akcjonariuszy mniejszościowych Elektrim S.A.</w:t>
      </w:r>
      <w:r w:rsidR="001C5571" w:rsidRPr="00A66D7A">
        <w:rPr>
          <w:sz w:val="22"/>
          <w:szCs w:val="22"/>
        </w:rPr>
        <w:t xml:space="preserve"> </w:t>
      </w:r>
      <w:r w:rsidR="00284D57" w:rsidRPr="00A66D7A">
        <w:rPr>
          <w:sz w:val="22"/>
          <w:szCs w:val="22"/>
        </w:rPr>
        <w:t xml:space="preserve">Brak </w:t>
      </w:r>
      <w:r w:rsidR="001C5571" w:rsidRPr="00A66D7A">
        <w:rPr>
          <w:sz w:val="22"/>
          <w:szCs w:val="22"/>
        </w:rPr>
        <w:t xml:space="preserve">implementacji </w:t>
      </w:r>
      <w:r w:rsidR="00284D57" w:rsidRPr="00A66D7A">
        <w:rPr>
          <w:sz w:val="22"/>
          <w:szCs w:val="22"/>
        </w:rPr>
        <w:t>stosownych rozwiązań</w:t>
      </w:r>
      <w:r w:rsidR="00C34C0A" w:rsidRPr="00A66D7A">
        <w:rPr>
          <w:sz w:val="22"/>
          <w:szCs w:val="22"/>
        </w:rPr>
        <w:t xml:space="preserve"> ustawowych</w:t>
      </w:r>
      <w:r w:rsidR="00284D57" w:rsidRPr="00A66D7A">
        <w:rPr>
          <w:sz w:val="22"/>
          <w:szCs w:val="22"/>
        </w:rPr>
        <w:t xml:space="preserve"> grozi </w:t>
      </w:r>
      <w:r w:rsidR="00EC71F3" w:rsidRPr="00A66D7A">
        <w:rPr>
          <w:sz w:val="22"/>
          <w:szCs w:val="22"/>
        </w:rPr>
        <w:t>bowiem</w:t>
      </w:r>
      <w:r w:rsidR="00DF6160" w:rsidRPr="00A66D7A">
        <w:rPr>
          <w:sz w:val="22"/>
          <w:szCs w:val="22"/>
        </w:rPr>
        <w:t xml:space="preserve"> dalsz</w:t>
      </w:r>
      <w:r w:rsidR="001C5571" w:rsidRPr="00A66D7A">
        <w:rPr>
          <w:sz w:val="22"/>
          <w:szCs w:val="22"/>
        </w:rPr>
        <w:t>ą</w:t>
      </w:r>
      <w:r w:rsidR="00284D57" w:rsidRPr="00A66D7A">
        <w:rPr>
          <w:sz w:val="22"/>
          <w:szCs w:val="22"/>
        </w:rPr>
        <w:t xml:space="preserve"> dekompozycją struktury Grupy Kapitałowej Elektrim poprzez </w:t>
      </w:r>
      <w:r w:rsidR="0096040E" w:rsidRPr="00A66D7A">
        <w:rPr>
          <w:sz w:val="22"/>
          <w:szCs w:val="22"/>
        </w:rPr>
        <w:t xml:space="preserve">stopniowe </w:t>
      </w:r>
      <w:r w:rsidR="00284D57" w:rsidRPr="00A66D7A">
        <w:rPr>
          <w:sz w:val="22"/>
          <w:szCs w:val="22"/>
        </w:rPr>
        <w:t>pozbawi</w:t>
      </w:r>
      <w:r w:rsidR="0096040E" w:rsidRPr="00A66D7A">
        <w:rPr>
          <w:sz w:val="22"/>
          <w:szCs w:val="22"/>
        </w:rPr>
        <w:t>a</w:t>
      </w:r>
      <w:r w:rsidR="00284D57" w:rsidRPr="00A66D7A">
        <w:rPr>
          <w:sz w:val="22"/>
          <w:szCs w:val="22"/>
        </w:rPr>
        <w:t>nie spółki kluczowych aktywów</w:t>
      </w:r>
      <w:r w:rsidR="0096040E" w:rsidRPr="00A66D7A">
        <w:rPr>
          <w:sz w:val="22"/>
          <w:szCs w:val="22"/>
        </w:rPr>
        <w:t xml:space="preserve"> w zamian </w:t>
      </w:r>
      <w:r w:rsidR="007F463F" w:rsidRPr="00A66D7A">
        <w:rPr>
          <w:sz w:val="22"/>
          <w:szCs w:val="22"/>
        </w:rPr>
        <w:t>z</w:t>
      </w:r>
      <w:r w:rsidR="0096040E" w:rsidRPr="00A66D7A">
        <w:rPr>
          <w:sz w:val="22"/>
          <w:szCs w:val="22"/>
        </w:rPr>
        <w:t xml:space="preserve">a świadczenia </w:t>
      </w:r>
      <w:r w:rsidR="007F463F" w:rsidRPr="00A66D7A">
        <w:rPr>
          <w:sz w:val="22"/>
          <w:szCs w:val="22"/>
        </w:rPr>
        <w:t xml:space="preserve">najprawdopodobniej </w:t>
      </w:r>
      <w:r w:rsidR="0096040E" w:rsidRPr="00A66D7A">
        <w:rPr>
          <w:sz w:val="22"/>
          <w:szCs w:val="22"/>
        </w:rPr>
        <w:t>nieekwiwalentne</w:t>
      </w:r>
      <w:r w:rsidR="001C5571" w:rsidRPr="00A66D7A">
        <w:rPr>
          <w:sz w:val="22"/>
          <w:szCs w:val="22"/>
        </w:rPr>
        <w:t>. Skutkować to może</w:t>
      </w:r>
      <w:r w:rsidR="0096040E" w:rsidRPr="00A66D7A">
        <w:rPr>
          <w:sz w:val="22"/>
          <w:szCs w:val="22"/>
        </w:rPr>
        <w:t xml:space="preserve"> </w:t>
      </w:r>
      <w:r w:rsidR="001C5571" w:rsidRPr="00A66D7A">
        <w:rPr>
          <w:sz w:val="22"/>
          <w:szCs w:val="22"/>
        </w:rPr>
        <w:t>powstanie</w:t>
      </w:r>
      <w:r w:rsidR="0096040E" w:rsidRPr="00A66D7A">
        <w:rPr>
          <w:sz w:val="22"/>
          <w:szCs w:val="22"/>
        </w:rPr>
        <w:t>m</w:t>
      </w:r>
      <w:r w:rsidR="001C5571" w:rsidRPr="00A66D7A">
        <w:rPr>
          <w:sz w:val="22"/>
          <w:szCs w:val="22"/>
        </w:rPr>
        <w:t xml:space="preserve"> </w:t>
      </w:r>
      <w:r w:rsidR="003D5D8A" w:rsidRPr="00A66D7A">
        <w:rPr>
          <w:sz w:val="22"/>
          <w:szCs w:val="22"/>
        </w:rPr>
        <w:t xml:space="preserve">nieodwracalnej </w:t>
      </w:r>
      <w:r w:rsidR="001C5571" w:rsidRPr="00A66D7A">
        <w:rPr>
          <w:sz w:val="22"/>
          <w:szCs w:val="22"/>
        </w:rPr>
        <w:t>szkody</w:t>
      </w:r>
      <w:r w:rsidR="003D5D8A" w:rsidRPr="00A66D7A">
        <w:rPr>
          <w:sz w:val="22"/>
          <w:szCs w:val="22"/>
        </w:rPr>
        <w:t xml:space="preserve"> majątkowej</w:t>
      </w:r>
      <w:r w:rsidR="001C5571" w:rsidRPr="00A66D7A">
        <w:rPr>
          <w:sz w:val="22"/>
          <w:szCs w:val="22"/>
        </w:rPr>
        <w:t xml:space="preserve"> po stronie akcjonariuszy mniejszościowych</w:t>
      </w:r>
      <w:r w:rsidR="003D5D8A" w:rsidRPr="00A66D7A">
        <w:rPr>
          <w:sz w:val="22"/>
          <w:szCs w:val="22"/>
        </w:rPr>
        <w:t xml:space="preserve"> związane</w:t>
      </w:r>
      <w:r w:rsidR="00A7193C" w:rsidRPr="00A66D7A">
        <w:rPr>
          <w:sz w:val="22"/>
          <w:szCs w:val="22"/>
        </w:rPr>
        <w:t>j</w:t>
      </w:r>
      <w:r w:rsidR="003D5D8A" w:rsidRPr="00A66D7A">
        <w:rPr>
          <w:sz w:val="22"/>
          <w:szCs w:val="22"/>
        </w:rPr>
        <w:t xml:space="preserve"> z utratą wartości </w:t>
      </w:r>
      <w:r w:rsidR="002B6146" w:rsidRPr="00A66D7A">
        <w:rPr>
          <w:sz w:val="22"/>
          <w:szCs w:val="22"/>
        </w:rPr>
        <w:t>majątku spółki.</w:t>
      </w:r>
    </w:p>
    <w:p w14:paraId="164A2BFC" w14:textId="28CE479A" w:rsidR="00596639" w:rsidRPr="00A66D7A" w:rsidRDefault="00EE43F0" w:rsidP="003B47EB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>Po raz kolejny podkreślić</w:t>
      </w:r>
      <w:r w:rsidR="006C4BDB" w:rsidRPr="00A66D7A">
        <w:rPr>
          <w:sz w:val="22"/>
          <w:szCs w:val="22"/>
        </w:rPr>
        <w:t xml:space="preserve"> przy tym</w:t>
      </w:r>
      <w:r w:rsidRPr="00A66D7A">
        <w:rPr>
          <w:sz w:val="22"/>
          <w:szCs w:val="22"/>
        </w:rPr>
        <w:t xml:space="preserve"> trzeba, iż obowiązujące aktualnie regulacje nie zapewniają akcjonariuszom mniejszościowym byłych spółek giełdowych odpowiednich instrumentów prawnych umożliwiających ochronę ich uzasadnionych interesów majątkowych. Wskazać w szczególności należy, iż wobec </w:t>
      </w:r>
      <w:r w:rsidR="0071370A" w:rsidRPr="00A66D7A">
        <w:rPr>
          <w:sz w:val="22"/>
          <w:szCs w:val="22"/>
        </w:rPr>
        <w:t>zawężenia kręgu podmiot</w:t>
      </w:r>
      <w:r w:rsidR="002C30E0" w:rsidRPr="00A66D7A">
        <w:rPr>
          <w:sz w:val="22"/>
          <w:szCs w:val="22"/>
        </w:rPr>
        <w:t>ów</w:t>
      </w:r>
      <w:r w:rsidRPr="00A66D7A">
        <w:rPr>
          <w:sz w:val="22"/>
          <w:szCs w:val="22"/>
        </w:rPr>
        <w:t xml:space="preserve"> pokrzywdzon</w:t>
      </w:r>
      <w:r w:rsidR="00716CD3" w:rsidRPr="00A66D7A">
        <w:rPr>
          <w:sz w:val="22"/>
          <w:szCs w:val="22"/>
        </w:rPr>
        <w:t>ych</w:t>
      </w:r>
      <w:r w:rsidRPr="00A66D7A">
        <w:rPr>
          <w:sz w:val="22"/>
          <w:szCs w:val="22"/>
        </w:rPr>
        <w:t xml:space="preserve"> przestępstwem</w:t>
      </w:r>
      <w:r w:rsidR="00596639" w:rsidRPr="00A66D7A">
        <w:rPr>
          <w:sz w:val="22"/>
          <w:szCs w:val="22"/>
        </w:rPr>
        <w:t xml:space="preserve"> nadużycia zaufania</w:t>
      </w:r>
      <w:r w:rsidRPr="00A66D7A">
        <w:rPr>
          <w:sz w:val="22"/>
          <w:szCs w:val="22"/>
        </w:rPr>
        <w:t xml:space="preserve"> na szkodę spółki </w:t>
      </w:r>
      <w:r w:rsidR="00596639" w:rsidRPr="00A66D7A">
        <w:rPr>
          <w:sz w:val="22"/>
          <w:szCs w:val="22"/>
        </w:rPr>
        <w:t xml:space="preserve">(art. 296 k.k.) </w:t>
      </w:r>
      <w:r w:rsidR="00477C10">
        <w:rPr>
          <w:sz w:val="22"/>
          <w:szCs w:val="22"/>
        </w:rPr>
        <w:t xml:space="preserve">wyłącznie </w:t>
      </w:r>
      <w:r w:rsidR="0071370A" w:rsidRPr="00A66D7A">
        <w:rPr>
          <w:sz w:val="22"/>
          <w:szCs w:val="22"/>
        </w:rPr>
        <w:t>do spółki kontrolowane</w:t>
      </w:r>
      <w:r w:rsidR="002C30E0" w:rsidRPr="00A66D7A">
        <w:rPr>
          <w:sz w:val="22"/>
          <w:szCs w:val="22"/>
        </w:rPr>
        <w:t>j zazwyczaj</w:t>
      </w:r>
      <w:r w:rsidR="0071370A" w:rsidRPr="00A66D7A">
        <w:rPr>
          <w:sz w:val="22"/>
          <w:szCs w:val="22"/>
        </w:rPr>
        <w:t xml:space="preserve"> przez organy o składzie ustalonym </w:t>
      </w:r>
      <w:r w:rsidR="002C30E0" w:rsidRPr="00A66D7A">
        <w:rPr>
          <w:sz w:val="22"/>
          <w:szCs w:val="22"/>
        </w:rPr>
        <w:t xml:space="preserve">wyłącznie </w:t>
      </w:r>
      <w:r w:rsidR="0071370A" w:rsidRPr="00A66D7A">
        <w:rPr>
          <w:sz w:val="22"/>
          <w:szCs w:val="22"/>
        </w:rPr>
        <w:t>przez głównego akcjonariusza</w:t>
      </w:r>
      <w:r w:rsidR="00596639" w:rsidRPr="00A66D7A">
        <w:rPr>
          <w:sz w:val="22"/>
          <w:szCs w:val="22"/>
        </w:rPr>
        <w:t xml:space="preserve"> </w:t>
      </w:r>
      <w:r w:rsidRPr="00A66D7A">
        <w:rPr>
          <w:sz w:val="22"/>
          <w:szCs w:val="22"/>
        </w:rPr>
        <w:t xml:space="preserve">– ochrona ta nie jest zapewniona regulacjami o charakterze prawnokarnym. </w:t>
      </w:r>
    </w:p>
    <w:p w14:paraId="36862D1A" w14:textId="0031527F" w:rsidR="00EE43F0" w:rsidRPr="00A66D7A" w:rsidRDefault="00EE43F0" w:rsidP="003B47EB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 xml:space="preserve">Również aktualna wykładnia przepisu art. 84 ustawy o ofercie publicznej zamyka akcjonariuszom </w:t>
      </w:r>
      <w:r w:rsidR="00596639" w:rsidRPr="00A66D7A">
        <w:rPr>
          <w:sz w:val="22"/>
          <w:szCs w:val="22"/>
        </w:rPr>
        <w:t xml:space="preserve">mniejszościowym </w:t>
      </w:r>
      <w:r w:rsidRPr="00A66D7A">
        <w:rPr>
          <w:sz w:val="22"/>
          <w:szCs w:val="22"/>
        </w:rPr>
        <w:t xml:space="preserve">drogę do zbadania określonych spraw spółki </w:t>
      </w:r>
      <w:r w:rsidR="00574E46" w:rsidRPr="00A66D7A">
        <w:rPr>
          <w:sz w:val="22"/>
          <w:szCs w:val="22"/>
        </w:rPr>
        <w:t>w ramach instytucji</w:t>
      </w:r>
      <w:r w:rsidRPr="00A66D7A">
        <w:rPr>
          <w:sz w:val="22"/>
          <w:szCs w:val="22"/>
        </w:rPr>
        <w:t xml:space="preserve"> rewidenta ds. szczególnych</w:t>
      </w:r>
      <w:r w:rsidR="00574E46" w:rsidRPr="00A66D7A">
        <w:rPr>
          <w:sz w:val="22"/>
          <w:szCs w:val="22"/>
        </w:rPr>
        <w:t xml:space="preserve"> przede wszystkim</w:t>
      </w:r>
      <w:r w:rsidR="00FD272F">
        <w:rPr>
          <w:sz w:val="22"/>
          <w:szCs w:val="22"/>
        </w:rPr>
        <w:t xml:space="preserve">. Dzieje się tak </w:t>
      </w:r>
      <w:r w:rsidRPr="00A66D7A">
        <w:rPr>
          <w:sz w:val="22"/>
          <w:szCs w:val="22"/>
        </w:rPr>
        <w:t>z uwagi na okoliczność, iż zakres badania nie może</w:t>
      </w:r>
      <w:r w:rsidR="00CA5486" w:rsidRPr="00A66D7A">
        <w:rPr>
          <w:sz w:val="22"/>
          <w:szCs w:val="22"/>
        </w:rPr>
        <w:t xml:space="preserve">, </w:t>
      </w:r>
      <w:r w:rsidRPr="00A66D7A">
        <w:rPr>
          <w:sz w:val="22"/>
          <w:szCs w:val="22"/>
        </w:rPr>
        <w:t>w świetle obowiązując</w:t>
      </w:r>
      <w:r w:rsidR="002F1E89" w:rsidRPr="00A66D7A">
        <w:rPr>
          <w:sz w:val="22"/>
          <w:szCs w:val="22"/>
        </w:rPr>
        <w:t>ej wykładni</w:t>
      </w:r>
      <w:r w:rsidR="00CA5486" w:rsidRPr="00A66D7A">
        <w:rPr>
          <w:sz w:val="22"/>
          <w:szCs w:val="22"/>
        </w:rPr>
        <w:t xml:space="preserve"> przywołanego przepisu,</w:t>
      </w:r>
      <w:r w:rsidR="002F1E89" w:rsidRPr="00A66D7A">
        <w:rPr>
          <w:sz w:val="22"/>
          <w:szCs w:val="22"/>
        </w:rPr>
        <w:t xml:space="preserve"> </w:t>
      </w:r>
      <w:r w:rsidRPr="00A66D7A">
        <w:rPr>
          <w:sz w:val="22"/>
          <w:szCs w:val="22"/>
        </w:rPr>
        <w:t>obejmować spraw spółek zależnych.</w:t>
      </w:r>
    </w:p>
    <w:p w14:paraId="547D0E05" w14:textId="77777777" w:rsidR="003E4E75" w:rsidRPr="00A66D7A" w:rsidRDefault="003E4E75" w:rsidP="003B47EB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>Stąd też najbardziej</w:t>
      </w:r>
      <w:r w:rsidR="007E0274" w:rsidRPr="00A66D7A">
        <w:rPr>
          <w:sz w:val="22"/>
          <w:szCs w:val="22"/>
        </w:rPr>
        <w:t xml:space="preserve"> </w:t>
      </w:r>
      <w:r w:rsidRPr="00A66D7A">
        <w:rPr>
          <w:sz w:val="22"/>
          <w:szCs w:val="22"/>
        </w:rPr>
        <w:t>optymalnym rozwiązaniem wydaje się</w:t>
      </w:r>
      <w:r w:rsidR="00471F70" w:rsidRPr="00A66D7A">
        <w:rPr>
          <w:sz w:val="22"/>
          <w:szCs w:val="22"/>
        </w:rPr>
        <w:t xml:space="preserve"> obecnie</w:t>
      </w:r>
      <w:r w:rsidRPr="00A66D7A">
        <w:rPr>
          <w:sz w:val="22"/>
          <w:szCs w:val="22"/>
        </w:rPr>
        <w:t xml:space="preserve"> </w:t>
      </w:r>
      <w:r w:rsidR="00FF661B" w:rsidRPr="00A66D7A">
        <w:rPr>
          <w:sz w:val="22"/>
          <w:szCs w:val="22"/>
        </w:rPr>
        <w:t xml:space="preserve">wprowadzenie do krajowego systemu prawnego mechanizmów umożliwiających akcjonariuszom </w:t>
      </w:r>
      <w:r w:rsidR="00471F70" w:rsidRPr="00A66D7A">
        <w:rPr>
          <w:sz w:val="22"/>
          <w:szCs w:val="22"/>
        </w:rPr>
        <w:t xml:space="preserve">byłych </w:t>
      </w:r>
      <w:r w:rsidR="00FF661B" w:rsidRPr="00A66D7A">
        <w:rPr>
          <w:sz w:val="22"/>
          <w:szCs w:val="22"/>
        </w:rPr>
        <w:t>spółek</w:t>
      </w:r>
      <w:r w:rsidR="00471F70" w:rsidRPr="00A66D7A">
        <w:rPr>
          <w:sz w:val="22"/>
          <w:szCs w:val="22"/>
        </w:rPr>
        <w:t xml:space="preserve"> giełdowych</w:t>
      </w:r>
      <w:r w:rsidR="00235CCA" w:rsidRPr="00A66D7A">
        <w:rPr>
          <w:sz w:val="22"/>
          <w:szCs w:val="22"/>
        </w:rPr>
        <w:t xml:space="preserve"> sformułowanie</w:t>
      </w:r>
      <w:r w:rsidR="00FF661B" w:rsidRPr="00A66D7A">
        <w:rPr>
          <w:sz w:val="22"/>
          <w:szCs w:val="22"/>
        </w:rPr>
        <w:t xml:space="preserve"> roszczenia o wykup ich akcji</w:t>
      </w:r>
      <w:r w:rsidR="00235CCA" w:rsidRPr="00A66D7A">
        <w:rPr>
          <w:sz w:val="22"/>
          <w:szCs w:val="22"/>
        </w:rPr>
        <w:t xml:space="preserve"> przez </w:t>
      </w:r>
      <w:r w:rsidR="00DD4002" w:rsidRPr="00A66D7A">
        <w:rPr>
          <w:sz w:val="22"/>
          <w:szCs w:val="22"/>
        </w:rPr>
        <w:t>samą spółką lub</w:t>
      </w:r>
      <w:r w:rsidR="000A2FFB" w:rsidRPr="00A66D7A">
        <w:rPr>
          <w:sz w:val="22"/>
          <w:szCs w:val="22"/>
        </w:rPr>
        <w:t xml:space="preserve"> przez</w:t>
      </w:r>
      <w:r w:rsidR="00DD4002" w:rsidRPr="00A66D7A">
        <w:rPr>
          <w:sz w:val="22"/>
          <w:szCs w:val="22"/>
        </w:rPr>
        <w:t xml:space="preserve"> jej głównego akcjonariusza</w:t>
      </w:r>
      <w:r w:rsidR="00FF661B" w:rsidRPr="00A66D7A">
        <w:rPr>
          <w:sz w:val="22"/>
          <w:szCs w:val="22"/>
        </w:rPr>
        <w:t>,</w:t>
      </w:r>
      <w:r w:rsidR="003041CB" w:rsidRPr="00A66D7A">
        <w:rPr>
          <w:sz w:val="22"/>
          <w:szCs w:val="22"/>
        </w:rPr>
        <w:t xml:space="preserve"> z zastrzeżeniem, że cena wykupu podlegać będzie weryfikacji przez niezależny podmiot</w:t>
      </w:r>
      <w:r w:rsidR="00951228" w:rsidRPr="00A66D7A">
        <w:rPr>
          <w:sz w:val="22"/>
          <w:szCs w:val="22"/>
        </w:rPr>
        <w:t xml:space="preserve"> lub w zostanie ustalona w inny zobiektywizowany sposób podlegający ewentualnej weryfikacji.</w:t>
      </w:r>
      <w:r w:rsidR="00151346" w:rsidRPr="00A66D7A">
        <w:rPr>
          <w:sz w:val="22"/>
          <w:szCs w:val="22"/>
        </w:rPr>
        <w:t xml:space="preserve"> </w:t>
      </w:r>
    </w:p>
    <w:p w14:paraId="5C8FABE8" w14:textId="77777777" w:rsidR="00821CE0" w:rsidRPr="00A66D7A" w:rsidRDefault="00471F70" w:rsidP="00190B08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>Zaznaczyć przy tym należy, iż tego</w:t>
      </w:r>
      <w:r w:rsidR="000507BE" w:rsidRPr="00A66D7A">
        <w:rPr>
          <w:sz w:val="22"/>
          <w:szCs w:val="22"/>
        </w:rPr>
        <w:t xml:space="preserve"> rodzaju regulacj</w:t>
      </w:r>
      <w:r w:rsidRPr="00A66D7A">
        <w:rPr>
          <w:sz w:val="22"/>
          <w:szCs w:val="22"/>
        </w:rPr>
        <w:t>e</w:t>
      </w:r>
      <w:r w:rsidR="00973EEE" w:rsidRPr="00A66D7A">
        <w:rPr>
          <w:sz w:val="22"/>
          <w:szCs w:val="22"/>
        </w:rPr>
        <w:t xml:space="preserve"> już </w:t>
      </w:r>
      <w:r w:rsidR="000507BE" w:rsidRPr="00A66D7A">
        <w:rPr>
          <w:sz w:val="22"/>
          <w:szCs w:val="22"/>
        </w:rPr>
        <w:t xml:space="preserve"> funkcjonują w krajowym porządku prawnym</w:t>
      </w:r>
      <w:r w:rsidR="00D03ED7" w:rsidRPr="00A66D7A">
        <w:rPr>
          <w:sz w:val="22"/>
          <w:szCs w:val="22"/>
        </w:rPr>
        <w:t xml:space="preserve">. W szczególności wskazać </w:t>
      </w:r>
      <w:r w:rsidR="00E60A87" w:rsidRPr="00A66D7A">
        <w:rPr>
          <w:sz w:val="22"/>
          <w:szCs w:val="22"/>
        </w:rPr>
        <w:t>trzeba</w:t>
      </w:r>
      <w:r w:rsidR="00D03ED7" w:rsidRPr="00A66D7A">
        <w:rPr>
          <w:sz w:val="22"/>
          <w:szCs w:val="22"/>
        </w:rPr>
        <w:t xml:space="preserve"> na przepis art. 83a ustawy o ofercie publicznej</w:t>
      </w:r>
      <w:r w:rsidR="00ED7A38" w:rsidRPr="00A66D7A">
        <w:rPr>
          <w:sz w:val="22"/>
          <w:szCs w:val="22"/>
        </w:rPr>
        <w:t xml:space="preserve"> umożliwiający akcjonariuszowi spółki, która została wykluczona z obrotu na rynku regulowanym</w:t>
      </w:r>
      <w:r w:rsidR="00F44B74" w:rsidRPr="00A66D7A">
        <w:rPr>
          <w:sz w:val="22"/>
          <w:szCs w:val="22"/>
        </w:rPr>
        <w:t xml:space="preserve"> </w:t>
      </w:r>
      <w:r w:rsidR="00ED7A38" w:rsidRPr="00A66D7A">
        <w:rPr>
          <w:sz w:val="22"/>
          <w:szCs w:val="22"/>
        </w:rPr>
        <w:t>posiadającemu poniżej 5% ogólnej liczby głosów</w:t>
      </w:r>
      <w:r w:rsidR="00F44B74" w:rsidRPr="00A66D7A">
        <w:rPr>
          <w:sz w:val="22"/>
          <w:szCs w:val="22"/>
        </w:rPr>
        <w:t xml:space="preserve"> złożenia żądania wykupu </w:t>
      </w:r>
      <w:r w:rsidR="007E0895" w:rsidRPr="00A66D7A">
        <w:rPr>
          <w:sz w:val="22"/>
          <w:szCs w:val="22"/>
        </w:rPr>
        <w:t xml:space="preserve">jego </w:t>
      </w:r>
      <w:r w:rsidR="00F44B74" w:rsidRPr="00A66D7A">
        <w:rPr>
          <w:sz w:val="22"/>
          <w:szCs w:val="22"/>
        </w:rPr>
        <w:t>akcji.</w:t>
      </w:r>
      <w:r w:rsidR="00D771D8" w:rsidRPr="00A66D7A">
        <w:rPr>
          <w:sz w:val="22"/>
          <w:szCs w:val="22"/>
        </w:rPr>
        <w:t xml:space="preserve"> </w:t>
      </w:r>
    </w:p>
    <w:p w14:paraId="0EC2D82C" w14:textId="77777777" w:rsidR="00190B08" w:rsidRPr="00A66D7A" w:rsidRDefault="00D41D1D" w:rsidP="00190B08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 xml:space="preserve">Nie sposób również pominąć, iż wchodząca w życie z dniem </w:t>
      </w:r>
      <w:r w:rsidR="009E376C" w:rsidRPr="00A66D7A">
        <w:rPr>
          <w:sz w:val="22"/>
          <w:szCs w:val="22"/>
        </w:rPr>
        <w:t>1</w:t>
      </w:r>
      <w:r w:rsidRPr="00A66D7A">
        <w:rPr>
          <w:sz w:val="22"/>
          <w:szCs w:val="22"/>
        </w:rPr>
        <w:t xml:space="preserve">2 października 2022 r. </w:t>
      </w:r>
      <w:r w:rsidR="00997D10" w:rsidRPr="00A66D7A">
        <w:rPr>
          <w:sz w:val="22"/>
          <w:szCs w:val="22"/>
        </w:rPr>
        <w:t xml:space="preserve">ustawa o zmianie ustawy - Kodeks spółek handlowych oraz niektórych innych ustaw z dnia 9 lutego 2022 r. (Dz.U. z </w:t>
      </w:r>
      <w:r w:rsidR="0011110A" w:rsidRPr="00A66D7A">
        <w:rPr>
          <w:sz w:val="22"/>
          <w:szCs w:val="22"/>
        </w:rPr>
        <w:br/>
      </w:r>
      <w:r w:rsidR="00997D10" w:rsidRPr="00A66D7A">
        <w:rPr>
          <w:sz w:val="22"/>
          <w:szCs w:val="22"/>
        </w:rPr>
        <w:t xml:space="preserve">2022 r. poz. 807) </w:t>
      </w:r>
      <w:r w:rsidRPr="00A66D7A">
        <w:rPr>
          <w:sz w:val="22"/>
          <w:szCs w:val="22"/>
        </w:rPr>
        <w:t>również wprowadz</w:t>
      </w:r>
      <w:r w:rsidR="00C8770C" w:rsidRPr="00A66D7A">
        <w:rPr>
          <w:sz w:val="22"/>
          <w:szCs w:val="22"/>
        </w:rPr>
        <w:t>ił</w:t>
      </w:r>
      <w:r w:rsidRPr="00A66D7A">
        <w:rPr>
          <w:sz w:val="22"/>
          <w:szCs w:val="22"/>
        </w:rPr>
        <w:t xml:space="preserve">a </w:t>
      </w:r>
      <w:r w:rsidR="007E0274" w:rsidRPr="00A66D7A">
        <w:rPr>
          <w:sz w:val="22"/>
          <w:szCs w:val="22"/>
        </w:rPr>
        <w:t>zbliżone do postulowanego rozwiązanie zwiększające ochronę interesów akcjonariuszy mniejszościowych spółek zależnych.</w:t>
      </w:r>
      <w:r w:rsidR="00BA7A02" w:rsidRPr="00A66D7A">
        <w:rPr>
          <w:sz w:val="22"/>
          <w:szCs w:val="22"/>
        </w:rPr>
        <w:t xml:space="preserve"> Wskazać w tym miejscu</w:t>
      </w:r>
      <w:r w:rsidR="00F214BC" w:rsidRPr="00A66D7A">
        <w:rPr>
          <w:sz w:val="22"/>
          <w:szCs w:val="22"/>
        </w:rPr>
        <w:t xml:space="preserve"> również</w:t>
      </w:r>
      <w:r w:rsidR="00BA7A02" w:rsidRPr="00A66D7A">
        <w:rPr>
          <w:sz w:val="22"/>
          <w:szCs w:val="22"/>
        </w:rPr>
        <w:t xml:space="preserve"> należy</w:t>
      </w:r>
      <w:r w:rsidR="00ED0220" w:rsidRPr="00A66D7A">
        <w:rPr>
          <w:sz w:val="22"/>
          <w:szCs w:val="22"/>
        </w:rPr>
        <w:t xml:space="preserve">, iż wchodzący wkrótce w życie przepis </w:t>
      </w:r>
      <w:r w:rsidR="00BA7A02" w:rsidRPr="00A66D7A">
        <w:rPr>
          <w:sz w:val="22"/>
          <w:szCs w:val="22"/>
        </w:rPr>
        <w:t>a</w:t>
      </w:r>
      <w:r w:rsidR="00190B08" w:rsidRPr="00A66D7A">
        <w:rPr>
          <w:sz w:val="22"/>
          <w:szCs w:val="22"/>
        </w:rPr>
        <w:t>rt. 21</w:t>
      </w:r>
      <w:r w:rsidR="00BA7A02" w:rsidRPr="00A66D7A">
        <w:rPr>
          <w:sz w:val="22"/>
          <w:szCs w:val="22"/>
          <w:vertAlign w:val="superscript"/>
        </w:rPr>
        <w:t>10</w:t>
      </w:r>
      <w:r w:rsidR="00190B08" w:rsidRPr="00A66D7A">
        <w:rPr>
          <w:sz w:val="22"/>
          <w:szCs w:val="22"/>
        </w:rPr>
        <w:t xml:space="preserve"> </w:t>
      </w:r>
      <w:r w:rsidR="0087321D" w:rsidRPr="00A66D7A">
        <w:rPr>
          <w:sz w:val="22"/>
          <w:szCs w:val="22"/>
        </w:rPr>
        <w:t>k.s.h.</w:t>
      </w:r>
      <w:r w:rsidR="00190B08" w:rsidRPr="00A66D7A">
        <w:rPr>
          <w:sz w:val="22"/>
          <w:szCs w:val="22"/>
        </w:rPr>
        <w:t xml:space="preserve"> reguluje prawo wspólnika (akcjonariusza) mniejszościowego spółki zależnej do odkupienia jego udziałów albo akcji przez spółkę dominującą (</w:t>
      </w:r>
      <w:r w:rsidR="0087321D" w:rsidRPr="00A66D7A">
        <w:rPr>
          <w:sz w:val="22"/>
          <w:szCs w:val="22"/>
        </w:rPr>
        <w:t>„</w:t>
      </w:r>
      <w:r w:rsidR="00190B08" w:rsidRPr="00A66D7A">
        <w:rPr>
          <w:sz w:val="22"/>
          <w:szCs w:val="22"/>
        </w:rPr>
        <w:t>sell-out</w:t>
      </w:r>
      <w:r w:rsidR="0087321D" w:rsidRPr="00A66D7A">
        <w:rPr>
          <w:sz w:val="22"/>
          <w:szCs w:val="22"/>
        </w:rPr>
        <w:t>”</w:t>
      </w:r>
      <w:r w:rsidR="00190B08" w:rsidRPr="00A66D7A">
        <w:rPr>
          <w:sz w:val="22"/>
          <w:szCs w:val="22"/>
        </w:rPr>
        <w:t>)</w:t>
      </w:r>
      <w:r w:rsidR="009B2EE0" w:rsidRPr="00A66D7A">
        <w:rPr>
          <w:sz w:val="22"/>
          <w:szCs w:val="22"/>
        </w:rPr>
        <w:t xml:space="preserve"> liberalizując przesłanki jej zastosowania związane z minimalnym progiem</w:t>
      </w:r>
      <w:r w:rsidR="002C70CE" w:rsidRPr="00A66D7A">
        <w:rPr>
          <w:sz w:val="22"/>
          <w:szCs w:val="22"/>
        </w:rPr>
        <w:t xml:space="preserve"> pułapu ilości głosów posiadanych przez akcjonariuszy mniejszościowych</w:t>
      </w:r>
      <w:r w:rsidR="009B2EE0" w:rsidRPr="00A66D7A">
        <w:rPr>
          <w:sz w:val="22"/>
          <w:szCs w:val="22"/>
        </w:rPr>
        <w:t xml:space="preserve"> względem przepisu art. 418</w:t>
      </w:r>
      <w:r w:rsidR="009B2EE0" w:rsidRPr="00A66D7A">
        <w:rPr>
          <w:sz w:val="22"/>
          <w:szCs w:val="22"/>
          <w:vertAlign w:val="superscript"/>
        </w:rPr>
        <w:t>1</w:t>
      </w:r>
      <w:r w:rsidR="009B2EE0" w:rsidRPr="00A66D7A">
        <w:rPr>
          <w:sz w:val="22"/>
          <w:szCs w:val="22"/>
        </w:rPr>
        <w:t xml:space="preserve"> k.s.h.</w:t>
      </w:r>
      <w:r w:rsidR="00190B08" w:rsidRPr="00A66D7A">
        <w:rPr>
          <w:sz w:val="22"/>
          <w:szCs w:val="22"/>
        </w:rPr>
        <w:t xml:space="preserve"> </w:t>
      </w:r>
      <w:r w:rsidR="002C70CE" w:rsidRPr="00A66D7A">
        <w:rPr>
          <w:sz w:val="22"/>
          <w:szCs w:val="22"/>
        </w:rPr>
        <w:t>z 95% do 90%.</w:t>
      </w:r>
    </w:p>
    <w:p w14:paraId="63EBD13F" w14:textId="77777777" w:rsidR="003522F0" w:rsidRPr="00A66D7A" w:rsidRDefault="00FB1D87" w:rsidP="00024B54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>Wyżej przedstawione regulacje wyraźnie potwierdzają</w:t>
      </w:r>
      <w:r w:rsidR="00400BDB" w:rsidRPr="00A66D7A">
        <w:rPr>
          <w:sz w:val="22"/>
          <w:szCs w:val="22"/>
        </w:rPr>
        <w:t xml:space="preserve"> zatem</w:t>
      </w:r>
      <w:r w:rsidRPr="00A66D7A">
        <w:rPr>
          <w:sz w:val="22"/>
          <w:szCs w:val="22"/>
        </w:rPr>
        <w:t>, iż ustawodawca</w:t>
      </w:r>
      <w:r w:rsidR="009307A3" w:rsidRPr="00A66D7A">
        <w:rPr>
          <w:sz w:val="22"/>
          <w:szCs w:val="22"/>
        </w:rPr>
        <w:t>,</w:t>
      </w:r>
      <w:r w:rsidRPr="00A66D7A">
        <w:rPr>
          <w:sz w:val="22"/>
          <w:szCs w:val="22"/>
        </w:rPr>
        <w:t xml:space="preserve"> </w:t>
      </w:r>
      <w:r w:rsidR="0087321D" w:rsidRPr="00A66D7A">
        <w:rPr>
          <w:sz w:val="22"/>
          <w:szCs w:val="22"/>
        </w:rPr>
        <w:t>już w ramach obowiązującego obecnie</w:t>
      </w:r>
      <w:r w:rsidRPr="00A66D7A">
        <w:rPr>
          <w:sz w:val="22"/>
          <w:szCs w:val="22"/>
        </w:rPr>
        <w:t xml:space="preserve"> porządku prawn</w:t>
      </w:r>
      <w:r w:rsidR="0087321D" w:rsidRPr="00A66D7A">
        <w:rPr>
          <w:sz w:val="22"/>
          <w:szCs w:val="22"/>
        </w:rPr>
        <w:t>ego</w:t>
      </w:r>
      <w:r w:rsidR="009307A3" w:rsidRPr="00A66D7A">
        <w:rPr>
          <w:sz w:val="22"/>
          <w:szCs w:val="22"/>
        </w:rPr>
        <w:t>,</w:t>
      </w:r>
      <w:r w:rsidRPr="00A66D7A">
        <w:rPr>
          <w:sz w:val="22"/>
          <w:szCs w:val="22"/>
        </w:rPr>
        <w:t xml:space="preserve"> dopuszcza różnicowanie sytuacji</w:t>
      </w:r>
      <w:r w:rsidR="00AB1171" w:rsidRPr="00A66D7A">
        <w:rPr>
          <w:sz w:val="22"/>
          <w:szCs w:val="22"/>
        </w:rPr>
        <w:t xml:space="preserve"> prawnej</w:t>
      </w:r>
      <w:r w:rsidRPr="00A66D7A">
        <w:rPr>
          <w:sz w:val="22"/>
          <w:szCs w:val="22"/>
        </w:rPr>
        <w:t xml:space="preserve"> akcjonariuszy mniejszościowych</w:t>
      </w:r>
      <w:r w:rsidR="00F73BC3" w:rsidRPr="00A66D7A">
        <w:rPr>
          <w:sz w:val="22"/>
          <w:szCs w:val="22"/>
        </w:rPr>
        <w:t xml:space="preserve"> w </w:t>
      </w:r>
      <w:r w:rsidR="007D4941" w:rsidRPr="00A66D7A">
        <w:rPr>
          <w:sz w:val="22"/>
          <w:szCs w:val="22"/>
        </w:rPr>
        <w:t>wypadku stwierdzenia</w:t>
      </w:r>
      <w:r w:rsidR="00F73BC3" w:rsidRPr="00A66D7A">
        <w:rPr>
          <w:sz w:val="22"/>
          <w:szCs w:val="22"/>
        </w:rPr>
        <w:t xml:space="preserve"> istnienia odpowiedniej cechy relewantnej</w:t>
      </w:r>
      <w:r w:rsidR="006906D5" w:rsidRPr="00A66D7A">
        <w:rPr>
          <w:sz w:val="22"/>
          <w:szCs w:val="22"/>
        </w:rPr>
        <w:t xml:space="preserve">, która uzasadnia </w:t>
      </w:r>
      <w:r w:rsidR="00326067" w:rsidRPr="00A66D7A">
        <w:rPr>
          <w:sz w:val="22"/>
          <w:szCs w:val="22"/>
        </w:rPr>
        <w:t xml:space="preserve">przyjęcie kryteriów </w:t>
      </w:r>
      <w:r w:rsidR="006906D5" w:rsidRPr="00A66D7A">
        <w:rPr>
          <w:sz w:val="22"/>
          <w:szCs w:val="22"/>
        </w:rPr>
        <w:t>zróżnicowani</w:t>
      </w:r>
      <w:r w:rsidR="00326067" w:rsidRPr="00A66D7A">
        <w:rPr>
          <w:sz w:val="22"/>
          <w:szCs w:val="22"/>
        </w:rPr>
        <w:t>a</w:t>
      </w:r>
      <w:r w:rsidR="006906D5" w:rsidRPr="00A66D7A">
        <w:rPr>
          <w:sz w:val="22"/>
          <w:szCs w:val="22"/>
        </w:rPr>
        <w:t>.</w:t>
      </w:r>
      <w:r w:rsidR="003522F0" w:rsidRPr="00A66D7A">
        <w:rPr>
          <w:sz w:val="22"/>
          <w:szCs w:val="22"/>
        </w:rPr>
        <w:t xml:space="preserve"> </w:t>
      </w:r>
    </w:p>
    <w:p w14:paraId="68C73FBE" w14:textId="6318B717" w:rsidR="00024B54" w:rsidRPr="00A66D7A" w:rsidRDefault="003522F0" w:rsidP="00024B54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>W takiej sytuacji trudno zgodzić się ze stanowiskiem</w:t>
      </w:r>
      <w:r w:rsidR="003E0DB7" w:rsidRPr="00A66D7A">
        <w:rPr>
          <w:sz w:val="22"/>
          <w:szCs w:val="22"/>
        </w:rPr>
        <w:t xml:space="preserve"> UKNF</w:t>
      </w:r>
      <w:r w:rsidRPr="00A66D7A">
        <w:rPr>
          <w:sz w:val="22"/>
          <w:szCs w:val="22"/>
        </w:rPr>
        <w:t xml:space="preserve">, jakoby wprowadzenie postulowanych w petycji rozwiązań </w:t>
      </w:r>
      <w:r w:rsidR="00214583" w:rsidRPr="00A66D7A">
        <w:rPr>
          <w:sz w:val="22"/>
          <w:szCs w:val="22"/>
        </w:rPr>
        <w:t>narusza</w:t>
      </w:r>
      <w:r w:rsidR="00ED01B9">
        <w:rPr>
          <w:sz w:val="22"/>
          <w:szCs w:val="22"/>
        </w:rPr>
        <w:t>łoby</w:t>
      </w:r>
      <w:r w:rsidR="000279F6" w:rsidRPr="00A66D7A">
        <w:rPr>
          <w:sz w:val="22"/>
          <w:szCs w:val="22"/>
        </w:rPr>
        <w:t xml:space="preserve"> zasadę równego traktowania akcjonariuszy mniejszościowych. </w:t>
      </w:r>
      <w:r w:rsidR="00024B54" w:rsidRPr="00A66D7A">
        <w:rPr>
          <w:sz w:val="22"/>
          <w:szCs w:val="22"/>
        </w:rPr>
        <w:t>Zasada</w:t>
      </w:r>
      <w:r w:rsidR="006906D5" w:rsidRPr="00A66D7A">
        <w:rPr>
          <w:sz w:val="22"/>
          <w:szCs w:val="22"/>
        </w:rPr>
        <w:t xml:space="preserve"> </w:t>
      </w:r>
      <w:r w:rsidR="00024B54" w:rsidRPr="00A66D7A">
        <w:rPr>
          <w:sz w:val="22"/>
          <w:szCs w:val="22"/>
        </w:rPr>
        <w:t>równości wobec prawa nakazuje bowiem identyczne traktowanie wszystkich adresatów norm</w:t>
      </w:r>
      <w:r w:rsidR="006906D5" w:rsidRPr="00A66D7A">
        <w:rPr>
          <w:sz w:val="22"/>
          <w:szCs w:val="22"/>
        </w:rPr>
        <w:t xml:space="preserve"> </w:t>
      </w:r>
      <w:r w:rsidR="00024B54" w:rsidRPr="00A66D7A">
        <w:rPr>
          <w:sz w:val="22"/>
          <w:szCs w:val="22"/>
        </w:rPr>
        <w:t>prawnych znajdujących się w takiej samej lub podobnej sytuacji prawnie relewantnej. Inaczej rzecz</w:t>
      </w:r>
      <w:r w:rsidR="006906D5" w:rsidRPr="00A66D7A">
        <w:rPr>
          <w:sz w:val="22"/>
          <w:szCs w:val="22"/>
        </w:rPr>
        <w:t xml:space="preserve"> </w:t>
      </w:r>
      <w:r w:rsidR="00024B54" w:rsidRPr="00A66D7A">
        <w:rPr>
          <w:sz w:val="22"/>
          <w:szCs w:val="22"/>
        </w:rPr>
        <w:t>ujmując, z zasady równości wynika nakaz równego, czyli jednakowego, traktowania wszystkich</w:t>
      </w:r>
      <w:r w:rsidR="001D54B4" w:rsidRPr="00A66D7A">
        <w:rPr>
          <w:sz w:val="22"/>
          <w:szCs w:val="22"/>
        </w:rPr>
        <w:t xml:space="preserve"> </w:t>
      </w:r>
      <w:r w:rsidR="00024B54" w:rsidRPr="00A66D7A">
        <w:rPr>
          <w:sz w:val="22"/>
          <w:szCs w:val="22"/>
        </w:rPr>
        <w:t>adresatów norm prawnych charakteryzujących się w takim samym stopniu tą samą cechą</w:t>
      </w:r>
      <w:r w:rsidR="006906D5" w:rsidRPr="00A66D7A">
        <w:rPr>
          <w:sz w:val="22"/>
          <w:szCs w:val="22"/>
        </w:rPr>
        <w:t xml:space="preserve"> </w:t>
      </w:r>
      <w:r w:rsidR="00024B54" w:rsidRPr="00A66D7A">
        <w:rPr>
          <w:sz w:val="22"/>
          <w:szCs w:val="22"/>
        </w:rPr>
        <w:t>relewantną</w:t>
      </w:r>
      <w:r w:rsidR="008C1781">
        <w:rPr>
          <w:sz w:val="22"/>
          <w:szCs w:val="22"/>
        </w:rPr>
        <w:t>,</w:t>
      </w:r>
      <w:r w:rsidR="00024B54" w:rsidRPr="00A66D7A">
        <w:rPr>
          <w:sz w:val="22"/>
          <w:szCs w:val="22"/>
        </w:rPr>
        <w:t xml:space="preserve"> co oznacza zarówno zakaz dyskryminowania jak i faworyzowania takich </w:t>
      </w:r>
      <w:r w:rsidR="00186CC9" w:rsidRPr="00A66D7A">
        <w:rPr>
          <w:sz w:val="22"/>
          <w:szCs w:val="22"/>
        </w:rPr>
        <w:t>podmiotów</w:t>
      </w:r>
      <w:r w:rsidR="00024B54" w:rsidRPr="00A66D7A">
        <w:rPr>
          <w:sz w:val="22"/>
          <w:szCs w:val="22"/>
        </w:rPr>
        <w:t>. Takie</w:t>
      </w:r>
      <w:r w:rsidR="006906D5" w:rsidRPr="00A66D7A">
        <w:rPr>
          <w:sz w:val="22"/>
          <w:szCs w:val="22"/>
        </w:rPr>
        <w:t xml:space="preserve"> </w:t>
      </w:r>
      <w:r w:rsidR="00024B54" w:rsidRPr="00A66D7A">
        <w:rPr>
          <w:sz w:val="22"/>
          <w:szCs w:val="22"/>
        </w:rPr>
        <w:t xml:space="preserve">ujęcie zasady równości dopuszcza natomiast odmienne traktowanie </w:t>
      </w:r>
      <w:r w:rsidR="00186CC9" w:rsidRPr="00A66D7A">
        <w:rPr>
          <w:sz w:val="22"/>
          <w:szCs w:val="22"/>
        </w:rPr>
        <w:t>podmiotów</w:t>
      </w:r>
      <w:r w:rsidR="00024B54" w:rsidRPr="00A66D7A">
        <w:rPr>
          <w:sz w:val="22"/>
          <w:szCs w:val="22"/>
        </w:rPr>
        <w:t>, które tej cechy nie mają.</w:t>
      </w:r>
      <w:r w:rsidR="006906D5" w:rsidRPr="00A66D7A">
        <w:rPr>
          <w:sz w:val="22"/>
          <w:szCs w:val="22"/>
        </w:rPr>
        <w:t xml:space="preserve"> </w:t>
      </w:r>
      <w:r w:rsidR="00024B54" w:rsidRPr="00A66D7A">
        <w:rPr>
          <w:sz w:val="22"/>
          <w:szCs w:val="22"/>
        </w:rPr>
        <w:t>Ustalenie, czy zasada równości rzeczywiście została w konkretnym wypadku naruszona, wymaga</w:t>
      </w:r>
      <w:r w:rsidR="006906D5" w:rsidRPr="00A66D7A">
        <w:rPr>
          <w:sz w:val="22"/>
          <w:szCs w:val="22"/>
        </w:rPr>
        <w:t xml:space="preserve"> </w:t>
      </w:r>
      <w:r w:rsidR="00024B54" w:rsidRPr="00A66D7A">
        <w:rPr>
          <w:sz w:val="22"/>
          <w:szCs w:val="22"/>
        </w:rPr>
        <w:t>zatem określenia kręgu adresatów, do których odnosi się budząca wątpliwości norma prawna oraz</w:t>
      </w:r>
      <w:r w:rsidR="006906D5" w:rsidRPr="00A66D7A">
        <w:rPr>
          <w:sz w:val="22"/>
          <w:szCs w:val="22"/>
        </w:rPr>
        <w:t xml:space="preserve"> </w:t>
      </w:r>
      <w:r w:rsidR="00024B54" w:rsidRPr="00A66D7A">
        <w:rPr>
          <w:sz w:val="22"/>
          <w:szCs w:val="22"/>
        </w:rPr>
        <w:t>wskazania tych elementów określających ich sytuację, które są prawnie relewantne.</w:t>
      </w:r>
    </w:p>
    <w:p w14:paraId="3EE53E68" w14:textId="23EBF94D" w:rsidR="00400BDB" w:rsidRPr="00A66D7A" w:rsidRDefault="00105698" w:rsidP="00024B54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 xml:space="preserve">Mając na uwadze powyższe uwarunkowania </w:t>
      </w:r>
      <w:r w:rsidR="00AF75B9" w:rsidRPr="00A66D7A">
        <w:rPr>
          <w:sz w:val="22"/>
          <w:szCs w:val="22"/>
        </w:rPr>
        <w:t>zauważyć należy, iż</w:t>
      </w:r>
      <w:r w:rsidR="00400BDB" w:rsidRPr="00A66D7A">
        <w:rPr>
          <w:sz w:val="22"/>
          <w:szCs w:val="22"/>
        </w:rPr>
        <w:t xml:space="preserve"> cechą relewantną różnicującą </w:t>
      </w:r>
      <w:r w:rsidR="008C1781">
        <w:rPr>
          <w:sz w:val="22"/>
          <w:szCs w:val="22"/>
        </w:rPr>
        <w:t xml:space="preserve">sytuację </w:t>
      </w:r>
      <w:r w:rsidR="00400BDB" w:rsidRPr="00A66D7A">
        <w:rPr>
          <w:sz w:val="22"/>
          <w:szCs w:val="22"/>
        </w:rPr>
        <w:t xml:space="preserve">akcjonariuszy mniejszościowych spółek publicznych </w:t>
      </w:r>
      <w:r w:rsidR="00E71BCC" w:rsidRPr="00A66D7A">
        <w:rPr>
          <w:sz w:val="22"/>
          <w:szCs w:val="22"/>
        </w:rPr>
        <w:t xml:space="preserve">w praktyce </w:t>
      </w:r>
      <w:r w:rsidR="001A0A7E" w:rsidRPr="00A66D7A">
        <w:rPr>
          <w:sz w:val="22"/>
          <w:szCs w:val="22"/>
        </w:rPr>
        <w:t>może</w:t>
      </w:r>
      <w:r w:rsidR="00BD5A63" w:rsidRPr="00A66D7A">
        <w:rPr>
          <w:sz w:val="22"/>
          <w:szCs w:val="22"/>
        </w:rPr>
        <w:t xml:space="preserve"> być </w:t>
      </w:r>
      <w:r w:rsidR="001A0A7E" w:rsidRPr="00A66D7A">
        <w:rPr>
          <w:sz w:val="22"/>
          <w:szCs w:val="22"/>
        </w:rPr>
        <w:t>np.</w:t>
      </w:r>
      <w:r w:rsidR="00400BDB" w:rsidRPr="00A66D7A">
        <w:rPr>
          <w:sz w:val="22"/>
          <w:szCs w:val="22"/>
        </w:rPr>
        <w:t xml:space="preserve"> okoliczność wykluczenia spółki z obrotu na rynku regulowanym (</w:t>
      </w:r>
      <w:r w:rsidR="00E71BCC" w:rsidRPr="00A66D7A">
        <w:rPr>
          <w:sz w:val="22"/>
          <w:szCs w:val="22"/>
        </w:rPr>
        <w:t>zob.</w:t>
      </w:r>
      <w:r w:rsidR="005B37DC" w:rsidRPr="00A66D7A">
        <w:rPr>
          <w:sz w:val="22"/>
          <w:szCs w:val="22"/>
        </w:rPr>
        <w:t xml:space="preserve"> </w:t>
      </w:r>
      <w:r w:rsidR="00400BDB" w:rsidRPr="00A66D7A">
        <w:rPr>
          <w:sz w:val="22"/>
          <w:szCs w:val="22"/>
        </w:rPr>
        <w:t>art. 83a ustawy o ofercie publicznej), czy też okoliczność pozostawania akcjonariuszem mniejszościowym spółki zależnej (</w:t>
      </w:r>
      <w:r w:rsidR="00E71BCC" w:rsidRPr="00A66D7A">
        <w:rPr>
          <w:sz w:val="22"/>
          <w:szCs w:val="22"/>
        </w:rPr>
        <w:t>zob.</w:t>
      </w:r>
      <w:r w:rsidR="005B37DC" w:rsidRPr="00A66D7A">
        <w:rPr>
          <w:sz w:val="22"/>
          <w:szCs w:val="22"/>
        </w:rPr>
        <w:t xml:space="preserve"> </w:t>
      </w:r>
      <w:r w:rsidR="00400BDB" w:rsidRPr="00A66D7A">
        <w:rPr>
          <w:sz w:val="22"/>
          <w:szCs w:val="22"/>
        </w:rPr>
        <w:t>art. 21</w:t>
      </w:r>
      <w:r w:rsidR="00400BDB" w:rsidRPr="00A66D7A">
        <w:rPr>
          <w:sz w:val="22"/>
          <w:szCs w:val="22"/>
          <w:vertAlign w:val="superscript"/>
        </w:rPr>
        <w:t>10</w:t>
      </w:r>
      <w:r w:rsidR="00400BDB" w:rsidRPr="00A66D7A">
        <w:rPr>
          <w:sz w:val="22"/>
          <w:szCs w:val="22"/>
        </w:rPr>
        <w:t xml:space="preserve"> k.s.h. w brzmieni</w:t>
      </w:r>
      <w:r w:rsidR="009E376C" w:rsidRPr="00A66D7A">
        <w:rPr>
          <w:sz w:val="22"/>
          <w:szCs w:val="22"/>
        </w:rPr>
        <w:t>u obowiązującym od dnia 12 października 2022 r.</w:t>
      </w:r>
      <w:r w:rsidR="005B37DC" w:rsidRPr="00A66D7A">
        <w:rPr>
          <w:sz w:val="22"/>
          <w:szCs w:val="22"/>
        </w:rPr>
        <w:t>).</w:t>
      </w:r>
    </w:p>
    <w:p w14:paraId="7B97E236" w14:textId="77777777" w:rsidR="00010175" w:rsidRPr="00A66D7A" w:rsidRDefault="008C76C0" w:rsidP="008C76C0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 xml:space="preserve">W ocenie akcjonariuszy Porozumienia taką cechą prawnie relewantną </w:t>
      </w:r>
      <w:r w:rsidR="00A662D6" w:rsidRPr="00A66D7A">
        <w:rPr>
          <w:sz w:val="22"/>
          <w:szCs w:val="22"/>
        </w:rPr>
        <w:t>warunkując</w:t>
      </w:r>
      <w:r w:rsidR="005C4995" w:rsidRPr="00A66D7A">
        <w:rPr>
          <w:sz w:val="22"/>
          <w:szCs w:val="22"/>
        </w:rPr>
        <w:t>ą</w:t>
      </w:r>
      <w:r w:rsidR="00A662D6" w:rsidRPr="00A66D7A">
        <w:rPr>
          <w:sz w:val="22"/>
          <w:szCs w:val="22"/>
        </w:rPr>
        <w:t xml:space="preserve"> możliwość różnicowania sytuacji prawnej akcjonariuszy mniejszościowych może być</w:t>
      </w:r>
      <w:r w:rsidRPr="00A66D7A">
        <w:rPr>
          <w:sz w:val="22"/>
          <w:szCs w:val="22"/>
        </w:rPr>
        <w:t xml:space="preserve"> również posiadanie statusu akcjonariusza spółki, której akcje zostały wykluczone z obrotu na rynku regulowanym, </w:t>
      </w:r>
      <w:r w:rsidR="00996A0F" w:rsidRPr="00A66D7A">
        <w:rPr>
          <w:sz w:val="22"/>
          <w:szCs w:val="22"/>
        </w:rPr>
        <w:t>tj. spółki</w:t>
      </w:r>
      <w:r w:rsidRPr="00A66D7A">
        <w:rPr>
          <w:sz w:val="22"/>
          <w:szCs w:val="22"/>
        </w:rPr>
        <w:t xml:space="preserve"> której mowa w art. 27 ust. 1 ustawy o zmianie ustawy o ofercie publicznej i warunkach wprowadzania instrumentów finansowych do zorganizowanego systemu obrotu oraz o spółkach publicznych oraz niektórych innych ustaw z dnia 16 października 2019 r. (Dz.U. z 2019 r. poz. 2217</w:t>
      </w:r>
      <w:r w:rsidR="002B076A" w:rsidRPr="00A66D7A">
        <w:rPr>
          <w:sz w:val="22"/>
          <w:szCs w:val="22"/>
        </w:rPr>
        <w:t xml:space="preserve">, dalej </w:t>
      </w:r>
      <w:r w:rsidR="00996A0F" w:rsidRPr="00A66D7A">
        <w:rPr>
          <w:sz w:val="22"/>
          <w:szCs w:val="22"/>
        </w:rPr>
        <w:t xml:space="preserve">zwanej </w:t>
      </w:r>
      <w:r w:rsidR="002B076A" w:rsidRPr="00A66D7A">
        <w:rPr>
          <w:sz w:val="22"/>
          <w:szCs w:val="22"/>
        </w:rPr>
        <w:t>„ustaw</w:t>
      </w:r>
      <w:r w:rsidR="00996A0F" w:rsidRPr="00A66D7A">
        <w:rPr>
          <w:sz w:val="22"/>
          <w:szCs w:val="22"/>
        </w:rPr>
        <w:t>ą</w:t>
      </w:r>
      <w:r w:rsidR="002B076A" w:rsidRPr="00A66D7A">
        <w:rPr>
          <w:sz w:val="22"/>
          <w:szCs w:val="22"/>
        </w:rPr>
        <w:t xml:space="preserve"> nowelizując</w:t>
      </w:r>
      <w:r w:rsidR="00996A0F" w:rsidRPr="00A66D7A">
        <w:rPr>
          <w:sz w:val="22"/>
          <w:szCs w:val="22"/>
        </w:rPr>
        <w:t>ą</w:t>
      </w:r>
      <w:r w:rsidR="002B076A" w:rsidRPr="00A66D7A">
        <w:rPr>
          <w:sz w:val="22"/>
          <w:szCs w:val="22"/>
        </w:rPr>
        <w:t>”</w:t>
      </w:r>
      <w:r w:rsidRPr="00A66D7A">
        <w:rPr>
          <w:sz w:val="22"/>
          <w:szCs w:val="22"/>
        </w:rPr>
        <w:t>).</w:t>
      </w:r>
    </w:p>
    <w:p w14:paraId="0CCE27EF" w14:textId="77777777" w:rsidR="008C76C0" w:rsidRPr="00A66D7A" w:rsidRDefault="00E635B2" w:rsidP="008C76C0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 xml:space="preserve">Akcjonariusze </w:t>
      </w:r>
      <w:r w:rsidR="00010175" w:rsidRPr="00A66D7A">
        <w:rPr>
          <w:sz w:val="22"/>
          <w:szCs w:val="22"/>
        </w:rPr>
        <w:t>tak</w:t>
      </w:r>
      <w:r w:rsidR="00996A0F" w:rsidRPr="00A66D7A">
        <w:rPr>
          <w:sz w:val="22"/>
          <w:szCs w:val="22"/>
        </w:rPr>
        <w:t xml:space="preserve">ich </w:t>
      </w:r>
      <w:r w:rsidRPr="00A66D7A">
        <w:rPr>
          <w:sz w:val="22"/>
          <w:szCs w:val="22"/>
        </w:rPr>
        <w:t>spółek do czasu wyrejestrowania ich akcji z depozytu papierów wartościowych korzystają bowiem ze szczególnej ochrony</w:t>
      </w:r>
      <w:r w:rsidR="00715DA0" w:rsidRPr="00A66D7A">
        <w:rPr>
          <w:sz w:val="22"/>
          <w:szCs w:val="22"/>
        </w:rPr>
        <w:t xml:space="preserve"> przewidzianej przepisami ustawy o ofercie publicznej</w:t>
      </w:r>
      <w:r w:rsidR="00362647" w:rsidRPr="00A66D7A">
        <w:rPr>
          <w:sz w:val="22"/>
          <w:szCs w:val="22"/>
        </w:rPr>
        <w:t xml:space="preserve">. </w:t>
      </w:r>
      <w:r w:rsidR="002702B6" w:rsidRPr="00A66D7A">
        <w:rPr>
          <w:sz w:val="22"/>
          <w:szCs w:val="22"/>
        </w:rPr>
        <w:t>Wyłączenie</w:t>
      </w:r>
      <w:r w:rsidR="00362647" w:rsidRPr="00A66D7A">
        <w:rPr>
          <w:sz w:val="22"/>
          <w:szCs w:val="22"/>
        </w:rPr>
        <w:t xml:space="preserve"> </w:t>
      </w:r>
      <w:r w:rsidR="00752639" w:rsidRPr="00A66D7A">
        <w:rPr>
          <w:sz w:val="22"/>
          <w:szCs w:val="22"/>
        </w:rPr>
        <w:t xml:space="preserve">obowiązywanie </w:t>
      </w:r>
      <w:r w:rsidR="00362647" w:rsidRPr="00A66D7A">
        <w:rPr>
          <w:sz w:val="22"/>
          <w:szCs w:val="22"/>
        </w:rPr>
        <w:t>t</w:t>
      </w:r>
      <w:r w:rsidR="00752639" w:rsidRPr="00A66D7A">
        <w:rPr>
          <w:sz w:val="22"/>
          <w:szCs w:val="22"/>
        </w:rPr>
        <w:t>aki</w:t>
      </w:r>
      <w:r w:rsidR="00362647" w:rsidRPr="00A66D7A">
        <w:rPr>
          <w:sz w:val="22"/>
          <w:szCs w:val="22"/>
        </w:rPr>
        <w:t>ej ochrony</w:t>
      </w:r>
      <w:r w:rsidR="00A91E91" w:rsidRPr="00A66D7A">
        <w:rPr>
          <w:sz w:val="22"/>
          <w:szCs w:val="22"/>
        </w:rPr>
        <w:t>, zgodnie z art. 27 ust. 2 ustawy nowelizującej,</w:t>
      </w:r>
      <w:r w:rsidR="00362647" w:rsidRPr="00A66D7A">
        <w:rPr>
          <w:sz w:val="22"/>
          <w:szCs w:val="22"/>
        </w:rPr>
        <w:t xml:space="preserve"> wymaga natomiast uzyskania zezwolenia Komisji Nadzoru Finansowego </w:t>
      </w:r>
      <w:r w:rsidR="00774C39" w:rsidRPr="00A66D7A">
        <w:rPr>
          <w:sz w:val="22"/>
          <w:szCs w:val="22"/>
        </w:rPr>
        <w:t>poprzez wyrejestrowanie akcji takiej spółki z podmiotu prowadzącego depozyt papierów wartościowych</w:t>
      </w:r>
      <w:r w:rsidR="008B6262" w:rsidRPr="00A66D7A">
        <w:rPr>
          <w:sz w:val="22"/>
          <w:szCs w:val="22"/>
        </w:rPr>
        <w:t xml:space="preserve">, co z kolei </w:t>
      </w:r>
      <w:r w:rsidR="00FD3B88" w:rsidRPr="00A66D7A">
        <w:rPr>
          <w:sz w:val="22"/>
          <w:szCs w:val="22"/>
        </w:rPr>
        <w:t xml:space="preserve">oznacza konieczność </w:t>
      </w:r>
      <w:r w:rsidR="008B6262" w:rsidRPr="00A66D7A">
        <w:rPr>
          <w:sz w:val="22"/>
          <w:szCs w:val="22"/>
        </w:rPr>
        <w:t xml:space="preserve"> przeprowadzenia </w:t>
      </w:r>
      <w:r w:rsidR="00242DB4" w:rsidRPr="00A66D7A">
        <w:rPr>
          <w:sz w:val="22"/>
          <w:szCs w:val="22"/>
        </w:rPr>
        <w:t xml:space="preserve">procedury </w:t>
      </w:r>
      <w:r w:rsidR="008B6262" w:rsidRPr="00A66D7A">
        <w:rPr>
          <w:sz w:val="22"/>
          <w:szCs w:val="22"/>
        </w:rPr>
        <w:t>wezwania</w:t>
      </w:r>
      <w:r w:rsidR="00242DB4" w:rsidRPr="00A66D7A">
        <w:rPr>
          <w:sz w:val="22"/>
          <w:szCs w:val="22"/>
        </w:rPr>
        <w:t xml:space="preserve"> do wykupu akcji </w:t>
      </w:r>
      <w:r w:rsidR="00A4436C" w:rsidRPr="00A66D7A">
        <w:rPr>
          <w:sz w:val="22"/>
          <w:szCs w:val="22"/>
        </w:rPr>
        <w:t>przez akcjonariuszy domagających się zezwolenia na wycofanie akcji w trybie art. 91 ustawy o ofercie publicznej</w:t>
      </w:r>
      <w:r w:rsidR="00C85325" w:rsidRPr="00A66D7A">
        <w:rPr>
          <w:sz w:val="22"/>
          <w:szCs w:val="22"/>
        </w:rPr>
        <w:t xml:space="preserve"> w brzmieniu sprzed </w:t>
      </w:r>
      <w:r w:rsidR="00591BAB" w:rsidRPr="00A66D7A">
        <w:rPr>
          <w:sz w:val="22"/>
          <w:szCs w:val="22"/>
        </w:rPr>
        <w:t xml:space="preserve">dnia </w:t>
      </w:r>
      <w:r w:rsidR="00C85325" w:rsidRPr="00A66D7A">
        <w:rPr>
          <w:sz w:val="22"/>
          <w:szCs w:val="22"/>
        </w:rPr>
        <w:t>30 listopada 2019 r.</w:t>
      </w:r>
    </w:p>
    <w:p w14:paraId="5BDEA81B" w14:textId="77777777" w:rsidR="00363254" w:rsidRPr="00A66D7A" w:rsidRDefault="008A5665" w:rsidP="008C76C0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 xml:space="preserve">W związku z powyższym stwierdzić należy, iż już obecnie obowiązujące przepisy różnicują sytuację prawną akcjonariuszy mniejszościowych w oparciu o prawnie relewantną cechę </w:t>
      </w:r>
      <w:r w:rsidR="00F30AA1" w:rsidRPr="00A66D7A">
        <w:rPr>
          <w:sz w:val="22"/>
          <w:szCs w:val="22"/>
        </w:rPr>
        <w:t>wykluczenia spółki z obrotu na rynku regulowanym i</w:t>
      </w:r>
      <w:r w:rsidR="006A1F77" w:rsidRPr="00A66D7A">
        <w:rPr>
          <w:sz w:val="22"/>
          <w:szCs w:val="22"/>
        </w:rPr>
        <w:t xml:space="preserve"> jednoczesnej</w:t>
      </w:r>
      <w:r w:rsidR="00F30AA1" w:rsidRPr="00A66D7A">
        <w:rPr>
          <w:sz w:val="22"/>
          <w:szCs w:val="22"/>
        </w:rPr>
        <w:t xml:space="preserve"> rejestracji spółki w depozycie papierów wartościowych</w:t>
      </w:r>
      <w:r w:rsidR="00545FB6" w:rsidRPr="00A66D7A">
        <w:rPr>
          <w:sz w:val="22"/>
          <w:szCs w:val="22"/>
        </w:rPr>
        <w:t xml:space="preserve"> prowadzonym przez odpowiedni podmiot.</w:t>
      </w:r>
      <w:r w:rsidR="00DB52E0" w:rsidRPr="00A66D7A">
        <w:rPr>
          <w:sz w:val="22"/>
          <w:szCs w:val="22"/>
        </w:rPr>
        <w:t xml:space="preserve"> </w:t>
      </w:r>
    </w:p>
    <w:p w14:paraId="07E3FB10" w14:textId="77777777" w:rsidR="005252C4" w:rsidRPr="00A66D7A" w:rsidRDefault="00DB52E0" w:rsidP="008C76C0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 xml:space="preserve">Przepisy te nakładają przy tym obowiązek wykupienia akcji takich akcjonariuszy mniejszościowych w sytuacji </w:t>
      </w:r>
      <w:r w:rsidR="00104FEE" w:rsidRPr="00A66D7A">
        <w:rPr>
          <w:sz w:val="22"/>
          <w:szCs w:val="22"/>
        </w:rPr>
        <w:t>zamiaru wyrejestrowania ich akcji z depozytu papierów wartościowych, a tym samym pozbawienia</w:t>
      </w:r>
      <w:r w:rsidR="00100CA1" w:rsidRPr="00A66D7A">
        <w:rPr>
          <w:sz w:val="22"/>
          <w:szCs w:val="22"/>
        </w:rPr>
        <w:t xml:space="preserve"> takich akcjonariuszy</w:t>
      </w:r>
      <w:r w:rsidR="00104FEE" w:rsidRPr="00A66D7A">
        <w:rPr>
          <w:sz w:val="22"/>
          <w:szCs w:val="22"/>
        </w:rPr>
        <w:t xml:space="preserve"> uprawnień wynikających z ustawy o ofercie publicznej.</w:t>
      </w:r>
      <w:r w:rsidR="00363254" w:rsidRPr="00A66D7A">
        <w:rPr>
          <w:sz w:val="22"/>
          <w:szCs w:val="22"/>
        </w:rPr>
        <w:t xml:space="preserve"> Obowiązek ten materializuje się w ten sposób, iż akcjonariusze żądający powzięcia </w:t>
      </w:r>
      <w:r w:rsidR="006E7598" w:rsidRPr="00A66D7A">
        <w:rPr>
          <w:sz w:val="22"/>
          <w:szCs w:val="22"/>
        </w:rPr>
        <w:t>uchwały</w:t>
      </w:r>
      <w:r w:rsidR="005252C4" w:rsidRPr="00A66D7A">
        <w:rPr>
          <w:sz w:val="22"/>
          <w:szCs w:val="22"/>
        </w:rPr>
        <w:t xml:space="preserve"> </w:t>
      </w:r>
      <w:r w:rsidR="00496825" w:rsidRPr="00A66D7A">
        <w:rPr>
          <w:sz w:val="22"/>
          <w:szCs w:val="22"/>
        </w:rPr>
        <w:t xml:space="preserve">o wyrejestrowania akcji z depozytu papierów wartościowych </w:t>
      </w:r>
      <w:r w:rsidR="0034686B" w:rsidRPr="00A66D7A">
        <w:rPr>
          <w:sz w:val="22"/>
          <w:szCs w:val="22"/>
        </w:rPr>
        <w:t>zobowiązani są</w:t>
      </w:r>
      <w:r w:rsidR="000A7DFE" w:rsidRPr="00A66D7A">
        <w:rPr>
          <w:sz w:val="22"/>
          <w:szCs w:val="22"/>
        </w:rPr>
        <w:t xml:space="preserve"> do uprzedniego</w:t>
      </w:r>
      <w:r w:rsidR="0034686B" w:rsidRPr="00A66D7A">
        <w:rPr>
          <w:sz w:val="22"/>
          <w:szCs w:val="22"/>
        </w:rPr>
        <w:t xml:space="preserve"> </w:t>
      </w:r>
      <w:r w:rsidR="00496825" w:rsidRPr="00A66D7A">
        <w:rPr>
          <w:sz w:val="22"/>
          <w:szCs w:val="22"/>
        </w:rPr>
        <w:t>przeprowadzenia wezwania do zapisywania się na sprzedaż akcji Spółki przez wszystkich pozostałych akcjonariuszy po cenie godziwej (art. 79 ust. 1 pkt. 2 ustawy o ofercie publicznej sprzed nowelizacji</w:t>
      </w:r>
      <w:r w:rsidR="0034686B" w:rsidRPr="00A66D7A">
        <w:rPr>
          <w:sz w:val="22"/>
          <w:szCs w:val="22"/>
        </w:rPr>
        <w:t>).</w:t>
      </w:r>
    </w:p>
    <w:p w14:paraId="502353D4" w14:textId="77777777" w:rsidR="000A7DFE" w:rsidRPr="00A66D7A" w:rsidRDefault="00C85325" w:rsidP="008C76C0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 xml:space="preserve">Niemniej wadą obecnie obowiązujących regulacji jest pozostawienie inicjatywy w zakresie </w:t>
      </w:r>
      <w:r w:rsidR="002A49F0" w:rsidRPr="00A66D7A">
        <w:rPr>
          <w:sz w:val="22"/>
          <w:szCs w:val="22"/>
        </w:rPr>
        <w:t>uzyskania zezwolenia na wyrejestrowanie akcji z depozytu papierów wartościowych</w:t>
      </w:r>
      <w:r w:rsidR="00C3413F" w:rsidRPr="00A66D7A">
        <w:rPr>
          <w:sz w:val="22"/>
          <w:szCs w:val="22"/>
        </w:rPr>
        <w:t xml:space="preserve"> związanego z obowiązkiem wykupu akcji od akcjonariuszy mniejszościowych</w:t>
      </w:r>
      <w:r w:rsidR="002A49F0" w:rsidRPr="00A66D7A">
        <w:rPr>
          <w:sz w:val="22"/>
          <w:szCs w:val="22"/>
        </w:rPr>
        <w:t xml:space="preserve"> </w:t>
      </w:r>
      <w:r w:rsidRPr="00A66D7A">
        <w:rPr>
          <w:sz w:val="22"/>
          <w:szCs w:val="22"/>
        </w:rPr>
        <w:t xml:space="preserve">wyłącznie </w:t>
      </w:r>
      <w:r w:rsidR="000A7DFE" w:rsidRPr="00A66D7A">
        <w:rPr>
          <w:sz w:val="22"/>
          <w:szCs w:val="22"/>
        </w:rPr>
        <w:t>w rękach</w:t>
      </w:r>
      <w:r w:rsidR="00A728D6" w:rsidRPr="00A66D7A">
        <w:rPr>
          <w:sz w:val="22"/>
          <w:szCs w:val="22"/>
        </w:rPr>
        <w:t xml:space="preserve"> akcjonariusza dominującego</w:t>
      </w:r>
      <w:r w:rsidR="000A7DFE" w:rsidRPr="00A66D7A">
        <w:rPr>
          <w:sz w:val="22"/>
          <w:szCs w:val="22"/>
        </w:rPr>
        <w:t>,</w:t>
      </w:r>
      <w:r w:rsidR="00A728D6" w:rsidRPr="00A66D7A">
        <w:rPr>
          <w:sz w:val="22"/>
          <w:szCs w:val="22"/>
        </w:rPr>
        <w:t xml:space="preserve"> z jednoczesnym pozbawieniem </w:t>
      </w:r>
      <w:r w:rsidR="000A7DFE" w:rsidRPr="00A66D7A">
        <w:rPr>
          <w:sz w:val="22"/>
          <w:szCs w:val="22"/>
        </w:rPr>
        <w:t xml:space="preserve">tego rodzaju </w:t>
      </w:r>
      <w:r w:rsidR="00A728D6" w:rsidRPr="00A66D7A">
        <w:rPr>
          <w:sz w:val="22"/>
          <w:szCs w:val="22"/>
        </w:rPr>
        <w:t>inicjatywy akcjonariuszy mniejszościowych.</w:t>
      </w:r>
      <w:r w:rsidR="000A7DFE" w:rsidRPr="00A66D7A">
        <w:rPr>
          <w:sz w:val="22"/>
          <w:szCs w:val="22"/>
        </w:rPr>
        <w:t xml:space="preserve"> W takiej sytuacji to wyłącznie główny akcjonariusz</w:t>
      </w:r>
      <w:r w:rsidR="00067F33" w:rsidRPr="00A66D7A">
        <w:rPr>
          <w:sz w:val="22"/>
          <w:szCs w:val="22"/>
        </w:rPr>
        <w:t xml:space="preserve"> </w:t>
      </w:r>
      <w:r w:rsidR="005A7D61" w:rsidRPr="00A66D7A">
        <w:rPr>
          <w:sz w:val="22"/>
          <w:szCs w:val="22"/>
        </w:rPr>
        <w:t xml:space="preserve">jest </w:t>
      </w:r>
      <w:r w:rsidR="004F3883" w:rsidRPr="00A66D7A">
        <w:rPr>
          <w:sz w:val="22"/>
          <w:szCs w:val="22"/>
        </w:rPr>
        <w:t>bowiem</w:t>
      </w:r>
      <w:r w:rsidR="00CA52E5" w:rsidRPr="00A66D7A">
        <w:rPr>
          <w:sz w:val="22"/>
          <w:szCs w:val="22"/>
        </w:rPr>
        <w:t xml:space="preserve"> </w:t>
      </w:r>
      <w:r w:rsidR="005A7D61" w:rsidRPr="00A66D7A">
        <w:rPr>
          <w:sz w:val="22"/>
          <w:szCs w:val="22"/>
        </w:rPr>
        <w:t>władny podjąć decyzję o przymusowym wykupie akcji.</w:t>
      </w:r>
    </w:p>
    <w:p w14:paraId="7653BCA3" w14:textId="4AFF21BA" w:rsidR="00DC4117" w:rsidRPr="00A66D7A" w:rsidRDefault="005A7D61" w:rsidP="008C76C0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>Tymczasem p</w:t>
      </w:r>
      <w:r w:rsidR="002A49F0" w:rsidRPr="00A66D7A">
        <w:rPr>
          <w:sz w:val="22"/>
          <w:szCs w:val="22"/>
        </w:rPr>
        <w:t>ostulaty legislacyjne zawarte w petycji sprowadzają</w:t>
      </w:r>
      <w:r w:rsidR="00545FB6" w:rsidRPr="00A66D7A">
        <w:rPr>
          <w:sz w:val="22"/>
          <w:szCs w:val="22"/>
        </w:rPr>
        <w:t xml:space="preserve"> się do</w:t>
      </w:r>
      <w:r w:rsidR="009854BA" w:rsidRPr="00A66D7A">
        <w:rPr>
          <w:sz w:val="22"/>
          <w:szCs w:val="22"/>
        </w:rPr>
        <w:t xml:space="preserve"> odpowiedniego</w:t>
      </w:r>
      <w:r w:rsidR="00545FB6" w:rsidRPr="00A66D7A">
        <w:rPr>
          <w:sz w:val="22"/>
          <w:szCs w:val="22"/>
        </w:rPr>
        <w:t xml:space="preserve"> rozszerzenia</w:t>
      </w:r>
      <w:r w:rsidR="009854BA" w:rsidRPr="00A66D7A">
        <w:rPr>
          <w:sz w:val="22"/>
          <w:szCs w:val="22"/>
        </w:rPr>
        <w:t xml:space="preserve"> </w:t>
      </w:r>
      <w:r w:rsidR="00375293" w:rsidRPr="00A66D7A">
        <w:rPr>
          <w:sz w:val="22"/>
          <w:szCs w:val="22"/>
        </w:rPr>
        <w:t>zakresu podmiotowe</w:t>
      </w:r>
      <w:r w:rsidR="00FA3582">
        <w:rPr>
          <w:sz w:val="22"/>
          <w:szCs w:val="22"/>
        </w:rPr>
        <w:t>go</w:t>
      </w:r>
      <w:r w:rsidR="00545FB6" w:rsidRPr="00A66D7A">
        <w:rPr>
          <w:sz w:val="22"/>
          <w:szCs w:val="22"/>
        </w:rPr>
        <w:t xml:space="preserve"> regulacji</w:t>
      </w:r>
      <w:r w:rsidR="004C6BA6">
        <w:rPr>
          <w:sz w:val="22"/>
          <w:szCs w:val="22"/>
        </w:rPr>
        <w:t xml:space="preserve"> zbliżonej do</w:t>
      </w:r>
      <w:r w:rsidR="00545FB6" w:rsidRPr="00A66D7A">
        <w:rPr>
          <w:sz w:val="22"/>
          <w:szCs w:val="22"/>
        </w:rPr>
        <w:t xml:space="preserve"> przewidzianej przepisami art. 27 ust. 2 ustawy nowelizującej w związku z art. 91 ustawy o ofercie publicznej sprzed nowelizacji</w:t>
      </w:r>
      <w:r w:rsidR="00ED17F6" w:rsidRPr="00A66D7A">
        <w:rPr>
          <w:sz w:val="22"/>
          <w:szCs w:val="22"/>
        </w:rPr>
        <w:t xml:space="preserve"> </w:t>
      </w:r>
      <w:r w:rsidR="00912018">
        <w:rPr>
          <w:sz w:val="22"/>
          <w:szCs w:val="22"/>
        </w:rPr>
        <w:t xml:space="preserve">- </w:t>
      </w:r>
      <w:r w:rsidR="00ED17F6" w:rsidRPr="00A66D7A">
        <w:rPr>
          <w:sz w:val="22"/>
          <w:szCs w:val="22"/>
        </w:rPr>
        <w:t>poprzez zapewnienie możliwości inicjatywy</w:t>
      </w:r>
      <w:r w:rsidR="00375293" w:rsidRPr="00A66D7A">
        <w:rPr>
          <w:sz w:val="22"/>
          <w:szCs w:val="22"/>
        </w:rPr>
        <w:t xml:space="preserve"> w zakresie żądania wykupu również</w:t>
      </w:r>
      <w:r w:rsidR="00ED17F6" w:rsidRPr="00A66D7A">
        <w:rPr>
          <w:sz w:val="22"/>
          <w:szCs w:val="22"/>
        </w:rPr>
        <w:t xml:space="preserve"> po stronie akcjonariuszy mniejszościowych, podobnie jak ma to miejsce w przepisach art. 83a ustawy o ofercie publicznej czy 21</w:t>
      </w:r>
      <w:r w:rsidR="00ED17F6" w:rsidRPr="00A66D7A">
        <w:rPr>
          <w:sz w:val="22"/>
          <w:szCs w:val="22"/>
          <w:vertAlign w:val="superscript"/>
        </w:rPr>
        <w:t xml:space="preserve">10 </w:t>
      </w:r>
      <w:r w:rsidR="00ED17F6" w:rsidRPr="00A66D7A">
        <w:rPr>
          <w:sz w:val="22"/>
          <w:szCs w:val="22"/>
        </w:rPr>
        <w:t>k.s.h.</w:t>
      </w:r>
      <w:r w:rsidR="00C742A9" w:rsidRPr="00A66D7A">
        <w:rPr>
          <w:sz w:val="22"/>
          <w:szCs w:val="22"/>
        </w:rPr>
        <w:t xml:space="preserve"> Przede wszystkim chodzi </w:t>
      </w:r>
      <w:r w:rsidR="000E429D" w:rsidRPr="00A66D7A">
        <w:rPr>
          <w:sz w:val="22"/>
          <w:szCs w:val="22"/>
        </w:rPr>
        <w:t xml:space="preserve">bowiem </w:t>
      </w:r>
      <w:r w:rsidR="00C742A9" w:rsidRPr="00A66D7A">
        <w:rPr>
          <w:sz w:val="22"/>
          <w:szCs w:val="22"/>
        </w:rPr>
        <w:t xml:space="preserve">o zapewnienie regulacji, która </w:t>
      </w:r>
      <w:r w:rsidR="009854BA" w:rsidRPr="00A66D7A">
        <w:rPr>
          <w:sz w:val="22"/>
          <w:szCs w:val="22"/>
        </w:rPr>
        <w:t xml:space="preserve">zapewni </w:t>
      </w:r>
      <w:r w:rsidR="00C742A9" w:rsidRPr="00A66D7A">
        <w:rPr>
          <w:sz w:val="22"/>
          <w:szCs w:val="22"/>
        </w:rPr>
        <w:t xml:space="preserve">akcjonariuszom tego rodzaju spółek możliwość </w:t>
      </w:r>
      <w:r w:rsidR="007153C9" w:rsidRPr="00A66D7A">
        <w:rPr>
          <w:sz w:val="22"/>
          <w:szCs w:val="22"/>
        </w:rPr>
        <w:t>wystąpienia ze spółki,</w:t>
      </w:r>
      <w:r w:rsidR="00456B41" w:rsidRPr="00A66D7A">
        <w:rPr>
          <w:sz w:val="22"/>
          <w:szCs w:val="22"/>
        </w:rPr>
        <w:t xml:space="preserve"> na którą</w:t>
      </w:r>
      <w:r w:rsidR="00AD3446" w:rsidRPr="00A66D7A">
        <w:rPr>
          <w:sz w:val="22"/>
          <w:szCs w:val="22"/>
        </w:rPr>
        <w:t>, z uwagi na znikomy pakiet posiadanych akcji,</w:t>
      </w:r>
      <w:r w:rsidR="00456B41" w:rsidRPr="00A66D7A">
        <w:rPr>
          <w:sz w:val="22"/>
          <w:szCs w:val="22"/>
        </w:rPr>
        <w:t xml:space="preserve"> nie mają jakiegokolwiek realnego wpływu i która nie podlega rygorom regulacyjnym właściwym dla spółek </w:t>
      </w:r>
      <w:r w:rsidR="00CB05A6" w:rsidRPr="00A66D7A">
        <w:rPr>
          <w:sz w:val="22"/>
          <w:szCs w:val="22"/>
        </w:rPr>
        <w:t>dopuszczonych do obrotu na rynku regulowanym.</w:t>
      </w:r>
    </w:p>
    <w:p w14:paraId="0578A424" w14:textId="4375A000" w:rsidR="000E429D" w:rsidRPr="00A66D7A" w:rsidRDefault="000E429D" w:rsidP="008C76C0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>Postulowane</w:t>
      </w:r>
      <w:r w:rsidR="00874DE3" w:rsidRPr="00A66D7A">
        <w:rPr>
          <w:sz w:val="22"/>
          <w:szCs w:val="22"/>
        </w:rPr>
        <w:t xml:space="preserve"> w petycji</w:t>
      </w:r>
      <w:r w:rsidR="00D312CC" w:rsidRPr="00A66D7A">
        <w:rPr>
          <w:sz w:val="22"/>
          <w:szCs w:val="22"/>
        </w:rPr>
        <w:t xml:space="preserve"> rozwiązania</w:t>
      </w:r>
      <w:r w:rsidRPr="00A66D7A">
        <w:rPr>
          <w:sz w:val="22"/>
          <w:szCs w:val="22"/>
        </w:rPr>
        <w:t xml:space="preserve">, jak pokazują przedstawione przykłady, są </w:t>
      </w:r>
      <w:r w:rsidR="00D312CC" w:rsidRPr="00A66D7A">
        <w:rPr>
          <w:sz w:val="22"/>
          <w:szCs w:val="22"/>
        </w:rPr>
        <w:t xml:space="preserve">zatem </w:t>
      </w:r>
      <w:r w:rsidRPr="00A66D7A">
        <w:rPr>
          <w:sz w:val="22"/>
          <w:szCs w:val="22"/>
        </w:rPr>
        <w:t>całkowicie dopuszczalne</w:t>
      </w:r>
      <w:r w:rsidR="00CA52E5" w:rsidRPr="00A66D7A">
        <w:rPr>
          <w:sz w:val="22"/>
          <w:szCs w:val="22"/>
        </w:rPr>
        <w:t xml:space="preserve">, funkcjonują </w:t>
      </w:r>
      <w:r w:rsidR="0032298C">
        <w:rPr>
          <w:sz w:val="22"/>
          <w:szCs w:val="22"/>
        </w:rPr>
        <w:t xml:space="preserve">już </w:t>
      </w:r>
      <w:r w:rsidR="00CA52E5" w:rsidRPr="00A66D7A">
        <w:rPr>
          <w:sz w:val="22"/>
          <w:szCs w:val="22"/>
        </w:rPr>
        <w:t>w zbliżonym zakresie w obrocie prawnym</w:t>
      </w:r>
      <w:r w:rsidR="00B23623" w:rsidRPr="00A66D7A">
        <w:rPr>
          <w:sz w:val="22"/>
          <w:szCs w:val="22"/>
        </w:rPr>
        <w:t xml:space="preserve">, zaś ich przyjęcie nie prowadziłoby do naruszenia </w:t>
      </w:r>
      <w:r w:rsidRPr="00A66D7A">
        <w:rPr>
          <w:sz w:val="22"/>
          <w:szCs w:val="22"/>
        </w:rPr>
        <w:t>konstytucyjnej zasady równości.</w:t>
      </w:r>
      <w:r w:rsidR="00DC4117" w:rsidRPr="00A66D7A">
        <w:rPr>
          <w:sz w:val="22"/>
          <w:szCs w:val="22"/>
        </w:rPr>
        <w:t xml:space="preserve"> </w:t>
      </w:r>
      <w:r w:rsidR="00D312CC" w:rsidRPr="00A66D7A">
        <w:rPr>
          <w:sz w:val="22"/>
          <w:szCs w:val="22"/>
        </w:rPr>
        <w:t xml:space="preserve">W istocie </w:t>
      </w:r>
      <w:r w:rsidR="00B23623" w:rsidRPr="00A66D7A">
        <w:rPr>
          <w:sz w:val="22"/>
          <w:szCs w:val="22"/>
        </w:rPr>
        <w:t xml:space="preserve">tego rodzaju regulacje </w:t>
      </w:r>
      <w:r w:rsidR="00D312CC" w:rsidRPr="00A66D7A">
        <w:rPr>
          <w:sz w:val="22"/>
          <w:szCs w:val="22"/>
        </w:rPr>
        <w:t xml:space="preserve">korespondowałyby </w:t>
      </w:r>
      <w:r w:rsidR="009B3AC8" w:rsidRPr="00A66D7A">
        <w:rPr>
          <w:sz w:val="22"/>
          <w:szCs w:val="22"/>
        </w:rPr>
        <w:t>funkcjonalnie</w:t>
      </w:r>
      <w:r w:rsidR="008D6609">
        <w:rPr>
          <w:sz w:val="22"/>
          <w:szCs w:val="22"/>
        </w:rPr>
        <w:t xml:space="preserve"> z</w:t>
      </w:r>
      <w:r w:rsidR="009B3AC8" w:rsidRPr="00A66D7A">
        <w:rPr>
          <w:sz w:val="22"/>
          <w:szCs w:val="22"/>
        </w:rPr>
        <w:t xml:space="preserve"> </w:t>
      </w:r>
      <w:r w:rsidR="00D312CC" w:rsidRPr="00A66D7A">
        <w:rPr>
          <w:sz w:val="22"/>
          <w:szCs w:val="22"/>
        </w:rPr>
        <w:t>już obowiązującymi przepisami</w:t>
      </w:r>
      <w:r w:rsidR="00F633E9" w:rsidRPr="00A66D7A">
        <w:rPr>
          <w:sz w:val="22"/>
          <w:szCs w:val="22"/>
        </w:rPr>
        <w:t xml:space="preserve"> oraz</w:t>
      </w:r>
      <w:r w:rsidR="009B3AC8" w:rsidRPr="00A66D7A">
        <w:rPr>
          <w:sz w:val="22"/>
          <w:szCs w:val="22"/>
        </w:rPr>
        <w:t xml:space="preserve"> </w:t>
      </w:r>
      <w:r w:rsidR="00D312CC" w:rsidRPr="00A66D7A">
        <w:rPr>
          <w:sz w:val="22"/>
          <w:szCs w:val="22"/>
        </w:rPr>
        <w:t>dopełniałyby</w:t>
      </w:r>
      <w:r w:rsidR="000C6F81" w:rsidRPr="00A66D7A">
        <w:rPr>
          <w:sz w:val="22"/>
          <w:szCs w:val="22"/>
        </w:rPr>
        <w:t xml:space="preserve"> je w zakresie związanym z zapewnieniem akcjonariuszom mniejszościowym byłych spółek giełdowych odpowiedniej ochrony</w:t>
      </w:r>
      <w:r w:rsidR="009B3AC8" w:rsidRPr="00A66D7A">
        <w:rPr>
          <w:sz w:val="22"/>
          <w:szCs w:val="22"/>
        </w:rPr>
        <w:t>.</w:t>
      </w:r>
    </w:p>
    <w:p w14:paraId="003DB45A" w14:textId="77777777" w:rsidR="0031745D" w:rsidRPr="00A66D7A" w:rsidRDefault="00631BEE" w:rsidP="008C76C0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 xml:space="preserve">Podkreślić </w:t>
      </w:r>
      <w:r w:rsidR="00874DE3" w:rsidRPr="00A66D7A">
        <w:rPr>
          <w:sz w:val="22"/>
          <w:szCs w:val="22"/>
        </w:rPr>
        <w:t>w tym miejscu</w:t>
      </w:r>
      <w:r w:rsidRPr="00A66D7A">
        <w:rPr>
          <w:sz w:val="22"/>
          <w:szCs w:val="22"/>
        </w:rPr>
        <w:t xml:space="preserve"> należy, iż o istotności i relewantności statusu spółki, o której mowa w art. 27 </w:t>
      </w:r>
      <w:r w:rsidR="00911836" w:rsidRPr="00A66D7A">
        <w:rPr>
          <w:sz w:val="22"/>
          <w:szCs w:val="22"/>
        </w:rPr>
        <w:t xml:space="preserve">ust. 1 </w:t>
      </w:r>
      <w:r w:rsidRPr="00A66D7A">
        <w:rPr>
          <w:sz w:val="22"/>
          <w:szCs w:val="22"/>
        </w:rPr>
        <w:t xml:space="preserve">ustawy nowelizującej przesądza fakt, że spółki wykluczone z obrotu na rynku regulowanym, których akcje wciąż pozostają zarejestrowane w depozycie papierów wartościowych, </w:t>
      </w:r>
      <w:r w:rsidR="00184848" w:rsidRPr="00A66D7A">
        <w:rPr>
          <w:sz w:val="22"/>
          <w:szCs w:val="22"/>
        </w:rPr>
        <w:t xml:space="preserve">z reguły </w:t>
      </w:r>
      <w:r w:rsidRPr="00A66D7A">
        <w:rPr>
          <w:sz w:val="22"/>
          <w:szCs w:val="22"/>
        </w:rPr>
        <w:t>charakteryzują się rozproszonym i licznym akcjonariatem</w:t>
      </w:r>
      <w:r w:rsidR="00184848" w:rsidRPr="00A66D7A">
        <w:rPr>
          <w:sz w:val="22"/>
          <w:szCs w:val="22"/>
        </w:rPr>
        <w:t xml:space="preserve"> mniejszościowym</w:t>
      </w:r>
      <w:r w:rsidR="00412C42" w:rsidRPr="00A66D7A">
        <w:rPr>
          <w:sz w:val="22"/>
          <w:szCs w:val="22"/>
        </w:rPr>
        <w:t xml:space="preserve">, które to rozproszenie istotnie ogranicza możliwość wyegzekwowania </w:t>
      </w:r>
      <w:r w:rsidR="00184848" w:rsidRPr="00A66D7A">
        <w:rPr>
          <w:sz w:val="22"/>
          <w:szCs w:val="22"/>
        </w:rPr>
        <w:t>przez akcjonariuszy swoich</w:t>
      </w:r>
      <w:r w:rsidR="00412C42" w:rsidRPr="00A66D7A">
        <w:rPr>
          <w:sz w:val="22"/>
          <w:szCs w:val="22"/>
        </w:rPr>
        <w:t xml:space="preserve"> ustawowych uprawnień.</w:t>
      </w:r>
      <w:r w:rsidR="0040252E" w:rsidRPr="00A66D7A">
        <w:rPr>
          <w:sz w:val="22"/>
          <w:szCs w:val="22"/>
        </w:rPr>
        <w:t xml:space="preserve"> </w:t>
      </w:r>
      <w:r w:rsidR="00BD5F0E" w:rsidRPr="00A66D7A">
        <w:rPr>
          <w:sz w:val="22"/>
          <w:szCs w:val="22"/>
        </w:rPr>
        <w:t>Powyższe u</w:t>
      </w:r>
      <w:r w:rsidR="0057591A" w:rsidRPr="00A66D7A">
        <w:rPr>
          <w:sz w:val="22"/>
          <w:szCs w:val="22"/>
        </w:rPr>
        <w:t xml:space="preserve">warunkowania </w:t>
      </w:r>
      <w:r w:rsidR="00E47E16" w:rsidRPr="00A66D7A">
        <w:rPr>
          <w:sz w:val="22"/>
          <w:szCs w:val="22"/>
        </w:rPr>
        <w:t xml:space="preserve">skutkują </w:t>
      </w:r>
      <w:r w:rsidR="00BD5F0E" w:rsidRPr="00A66D7A">
        <w:rPr>
          <w:sz w:val="22"/>
          <w:szCs w:val="22"/>
        </w:rPr>
        <w:t xml:space="preserve">bowiem </w:t>
      </w:r>
      <w:r w:rsidR="00E47E16" w:rsidRPr="00A66D7A">
        <w:rPr>
          <w:sz w:val="22"/>
          <w:szCs w:val="22"/>
        </w:rPr>
        <w:t>trudną sytuacją akcjonariuszy mniejszościowych w tego rodzaju spółkach wynikającą</w:t>
      </w:r>
      <w:r w:rsidR="00BD5F0E" w:rsidRPr="00A66D7A">
        <w:rPr>
          <w:sz w:val="22"/>
          <w:szCs w:val="22"/>
        </w:rPr>
        <w:t xml:space="preserve"> przede wszystkim</w:t>
      </w:r>
      <w:r w:rsidR="00E47E16" w:rsidRPr="00A66D7A">
        <w:rPr>
          <w:sz w:val="22"/>
          <w:szCs w:val="22"/>
        </w:rPr>
        <w:t xml:space="preserve"> z niskiej wagi głosu, czy</w:t>
      </w:r>
      <w:r w:rsidR="008B0BE0" w:rsidRPr="00A66D7A">
        <w:rPr>
          <w:sz w:val="22"/>
          <w:szCs w:val="22"/>
        </w:rPr>
        <w:t xml:space="preserve"> też</w:t>
      </w:r>
      <w:r w:rsidR="00E47E16" w:rsidRPr="00A66D7A">
        <w:rPr>
          <w:sz w:val="22"/>
          <w:szCs w:val="22"/>
        </w:rPr>
        <w:t xml:space="preserve"> braku jakiegokolwiek wpływ na skład organów spółki.</w:t>
      </w:r>
      <w:r w:rsidR="005C63CB" w:rsidRPr="00A66D7A">
        <w:rPr>
          <w:sz w:val="22"/>
          <w:szCs w:val="22"/>
        </w:rPr>
        <w:t xml:space="preserve"> </w:t>
      </w:r>
      <w:r w:rsidR="0051582E" w:rsidRPr="00A66D7A">
        <w:rPr>
          <w:sz w:val="22"/>
          <w:szCs w:val="22"/>
        </w:rPr>
        <w:t>Ową</w:t>
      </w:r>
      <w:r w:rsidR="00D35DCD" w:rsidRPr="00A66D7A">
        <w:rPr>
          <w:sz w:val="22"/>
          <w:szCs w:val="22"/>
        </w:rPr>
        <w:t xml:space="preserve"> niekorzystn</w:t>
      </w:r>
      <w:r w:rsidR="0051582E" w:rsidRPr="00A66D7A">
        <w:rPr>
          <w:sz w:val="22"/>
          <w:szCs w:val="22"/>
        </w:rPr>
        <w:t>ą</w:t>
      </w:r>
      <w:r w:rsidR="00D35DCD" w:rsidRPr="00A66D7A">
        <w:rPr>
          <w:sz w:val="22"/>
          <w:szCs w:val="22"/>
        </w:rPr>
        <w:t xml:space="preserve"> dla mniejszości </w:t>
      </w:r>
      <w:r w:rsidR="0040252E" w:rsidRPr="00A66D7A">
        <w:rPr>
          <w:sz w:val="22"/>
          <w:szCs w:val="22"/>
        </w:rPr>
        <w:t>sytuacj</w:t>
      </w:r>
      <w:r w:rsidR="0051582E" w:rsidRPr="00A66D7A">
        <w:rPr>
          <w:sz w:val="22"/>
          <w:szCs w:val="22"/>
        </w:rPr>
        <w:t>ę</w:t>
      </w:r>
      <w:r w:rsidR="0040252E" w:rsidRPr="00A66D7A">
        <w:rPr>
          <w:sz w:val="22"/>
          <w:szCs w:val="22"/>
        </w:rPr>
        <w:t xml:space="preserve"> zazwyczaj </w:t>
      </w:r>
      <w:r w:rsidR="0051582E" w:rsidRPr="00A66D7A">
        <w:rPr>
          <w:sz w:val="22"/>
          <w:szCs w:val="22"/>
        </w:rPr>
        <w:t>wy</w:t>
      </w:r>
      <w:r w:rsidR="0040252E" w:rsidRPr="00A66D7A">
        <w:rPr>
          <w:sz w:val="22"/>
          <w:szCs w:val="22"/>
        </w:rPr>
        <w:t>korzyst</w:t>
      </w:r>
      <w:r w:rsidR="0051582E" w:rsidRPr="00A66D7A">
        <w:rPr>
          <w:sz w:val="22"/>
          <w:szCs w:val="22"/>
        </w:rPr>
        <w:t>uje</w:t>
      </w:r>
      <w:r w:rsidR="0040252E" w:rsidRPr="00A66D7A">
        <w:rPr>
          <w:sz w:val="22"/>
          <w:szCs w:val="22"/>
        </w:rPr>
        <w:t xml:space="preserve"> akcjonariusz dominujący, który pozbawiony kontroli czy nadzoru ze strony rozproszonego akcjonariatu czy instytucji nadzoru finansowego, </w:t>
      </w:r>
      <w:r w:rsidR="00D35DCD" w:rsidRPr="00A66D7A">
        <w:rPr>
          <w:sz w:val="22"/>
          <w:szCs w:val="22"/>
        </w:rPr>
        <w:t>nierzadko</w:t>
      </w:r>
      <w:r w:rsidR="0040252E" w:rsidRPr="00A66D7A">
        <w:rPr>
          <w:sz w:val="22"/>
          <w:szCs w:val="22"/>
        </w:rPr>
        <w:t xml:space="preserve"> realizuje wobec spółki politykę</w:t>
      </w:r>
      <w:r w:rsidR="00D35DCD" w:rsidRPr="00A66D7A">
        <w:rPr>
          <w:sz w:val="22"/>
          <w:szCs w:val="22"/>
        </w:rPr>
        <w:t xml:space="preserve"> faworyzującą własne interesy, </w:t>
      </w:r>
      <w:r w:rsidR="00005E47" w:rsidRPr="00A66D7A">
        <w:rPr>
          <w:sz w:val="22"/>
          <w:szCs w:val="22"/>
        </w:rPr>
        <w:t>przy jednoczesnym naruszeniu interesów</w:t>
      </w:r>
      <w:r w:rsidR="0040252E" w:rsidRPr="00A66D7A">
        <w:rPr>
          <w:sz w:val="22"/>
          <w:szCs w:val="22"/>
        </w:rPr>
        <w:t xml:space="preserve"> akcjonariuszy mniejszościowych. </w:t>
      </w:r>
    </w:p>
    <w:p w14:paraId="5A3C87CE" w14:textId="77777777" w:rsidR="00B24516" w:rsidRPr="00A66D7A" w:rsidRDefault="00193415" w:rsidP="008C76C0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 xml:space="preserve">Dodatkowo w opisywanej wyżej sytuacji </w:t>
      </w:r>
      <w:r w:rsidR="0031745D" w:rsidRPr="00A66D7A">
        <w:rPr>
          <w:sz w:val="22"/>
          <w:szCs w:val="22"/>
        </w:rPr>
        <w:t>a</w:t>
      </w:r>
      <w:r w:rsidR="0040252E" w:rsidRPr="00A66D7A">
        <w:rPr>
          <w:sz w:val="22"/>
          <w:szCs w:val="22"/>
        </w:rPr>
        <w:t xml:space="preserve">kcjonariusze mniejszościowi, szczególnie w podmiotach o charakterze holdingowym, takich jak np. Elektrim S.A., </w:t>
      </w:r>
      <w:r w:rsidR="0031745D" w:rsidRPr="00A66D7A">
        <w:rPr>
          <w:sz w:val="22"/>
          <w:szCs w:val="22"/>
        </w:rPr>
        <w:t>pozostają</w:t>
      </w:r>
      <w:r w:rsidR="0040252E" w:rsidRPr="00A66D7A">
        <w:rPr>
          <w:sz w:val="22"/>
          <w:szCs w:val="22"/>
        </w:rPr>
        <w:t xml:space="preserve"> pozbawieni możliwości</w:t>
      </w:r>
      <w:r w:rsidR="0031745D" w:rsidRPr="00A66D7A">
        <w:rPr>
          <w:sz w:val="22"/>
          <w:szCs w:val="22"/>
        </w:rPr>
        <w:t xml:space="preserve"> stosownej</w:t>
      </w:r>
      <w:r w:rsidR="0040252E" w:rsidRPr="00A66D7A">
        <w:rPr>
          <w:sz w:val="22"/>
          <w:szCs w:val="22"/>
        </w:rPr>
        <w:t xml:space="preserve"> reakcji, np. poprzez zaskarżenie do sądu krzywdzących uchwał walnego zgromadzenia. Przykładowo </w:t>
      </w:r>
      <w:r w:rsidR="0031745D" w:rsidRPr="00A66D7A">
        <w:rPr>
          <w:sz w:val="22"/>
          <w:szCs w:val="22"/>
        </w:rPr>
        <w:t>dokonywane w ostatnich miesiącach</w:t>
      </w:r>
      <w:r w:rsidR="0040252E" w:rsidRPr="00A66D7A">
        <w:rPr>
          <w:sz w:val="22"/>
          <w:szCs w:val="22"/>
        </w:rPr>
        <w:t xml:space="preserve"> transfery majątku w Grupie Elektrim w całości nastąpiły poza </w:t>
      </w:r>
      <w:r w:rsidR="00B24516" w:rsidRPr="00A66D7A">
        <w:rPr>
          <w:sz w:val="22"/>
          <w:szCs w:val="22"/>
        </w:rPr>
        <w:t>strukturą organów spółki</w:t>
      </w:r>
      <w:r w:rsidR="0040252E" w:rsidRPr="00A66D7A">
        <w:rPr>
          <w:sz w:val="22"/>
          <w:szCs w:val="22"/>
        </w:rPr>
        <w:t xml:space="preserve"> dominując</w:t>
      </w:r>
      <w:r w:rsidR="00B24516" w:rsidRPr="00A66D7A">
        <w:rPr>
          <w:sz w:val="22"/>
          <w:szCs w:val="22"/>
        </w:rPr>
        <w:t>ej</w:t>
      </w:r>
      <w:r w:rsidR="0040252E" w:rsidRPr="00A66D7A">
        <w:rPr>
          <w:sz w:val="22"/>
          <w:szCs w:val="22"/>
        </w:rPr>
        <w:t>, zaś decyzje w zakresie tych transferów formalnie zostały podjęt</w:t>
      </w:r>
      <w:r w:rsidR="00320316" w:rsidRPr="00A66D7A">
        <w:rPr>
          <w:sz w:val="22"/>
          <w:szCs w:val="22"/>
        </w:rPr>
        <w:t>e</w:t>
      </w:r>
      <w:r w:rsidR="0040252E" w:rsidRPr="00A66D7A">
        <w:rPr>
          <w:sz w:val="22"/>
          <w:szCs w:val="22"/>
        </w:rPr>
        <w:t xml:space="preserve"> przez zarządy spółek zależnych</w:t>
      </w:r>
      <w:r w:rsidR="00B24516" w:rsidRPr="00A66D7A">
        <w:rPr>
          <w:sz w:val="22"/>
          <w:szCs w:val="22"/>
        </w:rPr>
        <w:t xml:space="preserve"> (choć </w:t>
      </w:r>
      <w:r w:rsidR="00A606F9" w:rsidRPr="00A66D7A">
        <w:rPr>
          <w:sz w:val="22"/>
          <w:szCs w:val="22"/>
        </w:rPr>
        <w:t>zapewne</w:t>
      </w:r>
      <w:r w:rsidR="00B24516" w:rsidRPr="00A66D7A">
        <w:rPr>
          <w:sz w:val="22"/>
          <w:szCs w:val="22"/>
        </w:rPr>
        <w:t xml:space="preserve"> za wiedzą i aprobatą </w:t>
      </w:r>
      <w:r w:rsidR="00A606F9" w:rsidRPr="00A66D7A">
        <w:rPr>
          <w:sz w:val="22"/>
          <w:szCs w:val="22"/>
        </w:rPr>
        <w:t>głównego akcjonariusz</w:t>
      </w:r>
      <w:r w:rsidR="00B6626B" w:rsidRPr="00A66D7A">
        <w:rPr>
          <w:sz w:val="22"/>
          <w:szCs w:val="22"/>
        </w:rPr>
        <w:t>a</w:t>
      </w:r>
      <w:r w:rsidR="00A606F9" w:rsidRPr="00A66D7A">
        <w:rPr>
          <w:sz w:val="22"/>
          <w:szCs w:val="22"/>
        </w:rPr>
        <w:t xml:space="preserve"> spółki dominującej i jej zarządu).</w:t>
      </w:r>
      <w:r w:rsidR="0031745D" w:rsidRPr="00A66D7A">
        <w:rPr>
          <w:sz w:val="22"/>
          <w:szCs w:val="22"/>
        </w:rPr>
        <w:t xml:space="preserve"> </w:t>
      </w:r>
    </w:p>
    <w:p w14:paraId="5F32E2FF" w14:textId="77777777" w:rsidR="00E31940" w:rsidRPr="00A66D7A" w:rsidRDefault="0031745D" w:rsidP="008C76C0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>Dodać</w:t>
      </w:r>
      <w:r w:rsidR="00A606F9" w:rsidRPr="00A66D7A">
        <w:rPr>
          <w:sz w:val="22"/>
          <w:szCs w:val="22"/>
        </w:rPr>
        <w:t xml:space="preserve"> przy tym</w:t>
      </w:r>
      <w:r w:rsidRPr="00A66D7A">
        <w:rPr>
          <w:sz w:val="22"/>
          <w:szCs w:val="22"/>
        </w:rPr>
        <w:t xml:space="preserve"> należy, iż z uwagi na ograniczone obowiązki informacyjne </w:t>
      </w:r>
      <w:r w:rsidR="00E8634C" w:rsidRPr="00A66D7A">
        <w:rPr>
          <w:sz w:val="22"/>
          <w:szCs w:val="22"/>
        </w:rPr>
        <w:t>związane z pozostawaniem Elek</w:t>
      </w:r>
      <w:r w:rsidR="002C13C2" w:rsidRPr="00A66D7A">
        <w:rPr>
          <w:sz w:val="22"/>
          <w:szCs w:val="22"/>
        </w:rPr>
        <w:t>t</w:t>
      </w:r>
      <w:r w:rsidR="00E8634C" w:rsidRPr="00A66D7A">
        <w:rPr>
          <w:sz w:val="22"/>
          <w:szCs w:val="22"/>
        </w:rPr>
        <w:t xml:space="preserve">rim S.A. poza rynkiem regulowanym, wiedzę o dokonanych transakcjach akcjonariusze mniejszościowi podjęli wyłącznie z uwagi na okoliczność, iż Cyfrowy Polsat S.A. i ZE PAK S.A. to spółki giełdowe obowiązane do </w:t>
      </w:r>
      <w:r w:rsidR="004F398C" w:rsidRPr="00A66D7A">
        <w:rPr>
          <w:sz w:val="22"/>
          <w:szCs w:val="22"/>
        </w:rPr>
        <w:t xml:space="preserve">bieżącego </w:t>
      </w:r>
      <w:r w:rsidR="00E8634C" w:rsidRPr="00A66D7A">
        <w:rPr>
          <w:sz w:val="22"/>
          <w:szCs w:val="22"/>
        </w:rPr>
        <w:t xml:space="preserve">informowania o tego rodzaju </w:t>
      </w:r>
      <w:r w:rsidR="004F398C" w:rsidRPr="00A66D7A">
        <w:rPr>
          <w:sz w:val="22"/>
          <w:szCs w:val="22"/>
        </w:rPr>
        <w:t>transakcjach</w:t>
      </w:r>
      <w:r w:rsidR="00E8634C" w:rsidRPr="00A66D7A">
        <w:rPr>
          <w:sz w:val="22"/>
          <w:szCs w:val="22"/>
        </w:rPr>
        <w:t xml:space="preserve">. Uzasadnia to przypuszczenie, że być może skala transferów aktywów poza Grupę Elektrim </w:t>
      </w:r>
      <w:r w:rsidR="00095C69" w:rsidRPr="00A66D7A">
        <w:rPr>
          <w:sz w:val="22"/>
          <w:szCs w:val="22"/>
        </w:rPr>
        <w:t>dotycząca spółek zależnych Grupy</w:t>
      </w:r>
      <w:r w:rsidR="00AA40DB" w:rsidRPr="00A66D7A">
        <w:rPr>
          <w:sz w:val="22"/>
          <w:szCs w:val="22"/>
        </w:rPr>
        <w:t xml:space="preserve"> Elektrim, jednak</w:t>
      </w:r>
      <w:r w:rsidR="00095C69" w:rsidRPr="00A66D7A">
        <w:rPr>
          <w:sz w:val="22"/>
          <w:szCs w:val="22"/>
        </w:rPr>
        <w:t xml:space="preserve"> nie notowanych na rynku regulowanym</w:t>
      </w:r>
      <w:r w:rsidR="00AA40DB" w:rsidRPr="00A66D7A">
        <w:rPr>
          <w:sz w:val="22"/>
          <w:szCs w:val="22"/>
        </w:rPr>
        <w:t>,</w:t>
      </w:r>
      <w:r w:rsidR="00095C69" w:rsidRPr="00A66D7A">
        <w:rPr>
          <w:sz w:val="22"/>
          <w:szCs w:val="22"/>
        </w:rPr>
        <w:t xml:space="preserve"> może okazać się znacznie większa.</w:t>
      </w:r>
      <w:r w:rsidR="002C13C2" w:rsidRPr="00A66D7A">
        <w:rPr>
          <w:sz w:val="22"/>
          <w:szCs w:val="22"/>
        </w:rPr>
        <w:t xml:space="preserve"> Szczegółowe dane o </w:t>
      </w:r>
      <w:r w:rsidR="00577C2B" w:rsidRPr="00A66D7A">
        <w:rPr>
          <w:sz w:val="22"/>
          <w:szCs w:val="22"/>
        </w:rPr>
        <w:t>tego rodzaje</w:t>
      </w:r>
      <w:r w:rsidR="002C13C2" w:rsidRPr="00A66D7A">
        <w:rPr>
          <w:sz w:val="22"/>
          <w:szCs w:val="22"/>
        </w:rPr>
        <w:t xml:space="preserve"> transakcjach zapewne zostaną upublicznione dopiero w czerwcu 2023 r. wraz z publikacją skonsolidowanego sprawozdania finansowego Grupy </w:t>
      </w:r>
      <w:r w:rsidR="00E5555B" w:rsidRPr="00A66D7A">
        <w:rPr>
          <w:sz w:val="22"/>
          <w:szCs w:val="22"/>
        </w:rPr>
        <w:t xml:space="preserve">Elektrim </w:t>
      </w:r>
      <w:r w:rsidR="002C13C2" w:rsidRPr="00A66D7A">
        <w:rPr>
          <w:sz w:val="22"/>
          <w:szCs w:val="22"/>
        </w:rPr>
        <w:t>za 2022 r.</w:t>
      </w:r>
      <w:r w:rsidR="00D90397" w:rsidRPr="00A66D7A">
        <w:rPr>
          <w:sz w:val="22"/>
          <w:szCs w:val="22"/>
        </w:rPr>
        <w:t xml:space="preserve"> </w:t>
      </w:r>
    </w:p>
    <w:p w14:paraId="3E3B2DD9" w14:textId="77777777" w:rsidR="00D90397" w:rsidRPr="00A66D7A" w:rsidRDefault="00D90397" w:rsidP="008C76C0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 xml:space="preserve">Okoliczności te </w:t>
      </w:r>
      <w:r w:rsidR="00CB3931" w:rsidRPr="00A66D7A">
        <w:rPr>
          <w:sz w:val="22"/>
          <w:szCs w:val="22"/>
        </w:rPr>
        <w:t>potwierdzają zatem, że akcjonariusze mniejszościowi tego rodzaju spółek</w:t>
      </w:r>
      <w:r w:rsidR="00E31940" w:rsidRPr="00A66D7A">
        <w:rPr>
          <w:sz w:val="22"/>
          <w:szCs w:val="22"/>
        </w:rPr>
        <w:t>, w tym akcjonariusze Elektrim S.A.,</w:t>
      </w:r>
      <w:r w:rsidR="00CB3931" w:rsidRPr="00A66D7A">
        <w:rPr>
          <w:sz w:val="22"/>
          <w:szCs w:val="22"/>
        </w:rPr>
        <w:t xml:space="preserve"> nie tylko nie posiadają realnego wpływu na działalność spółki, ale także </w:t>
      </w:r>
      <w:r w:rsidR="00956D29" w:rsidRPr="00A66D7A">
        <w:rPr>
          <w:sz w:val="22"/>
          <w:szCs w:val="22"/>
        </w:rPr>
        <w:t xml:space="preserve">pozbawieni </w:t>
      </w:r>
      <w:r w:rsidR="00577C2B" w:rsidRPr="00A66D7A">
        <w:rPr>
          <w:sz w:val="22"/>
          <w:szCs w:val="22"/>
        </w:rPr>
        <w:t>pozostają bieżącego</w:t>
      </w:r>
      <w:r w:rsidR="00956D29" w:rsidRPr="00A66D7A">
        <w:rPr>
          <w:sz w:val="22"/>
          <w:szCs w:val="22"/>
        </w:rPr>
        <w:t xml:space="preserve"> dostępu do kluczowych informacji o transakcjach realizowanych przez spółkę lub podmioty zależne, które to informacje </w:t>
      </w:r>
      <w:r w:rsidR="00577C2B" w:rsidRPr="00A66D7A">
        <w:rPr>
          <w:sz w:val="22"/>
          <w:szCs w:val="22"/>
        </w:rPr>
        <w:t>w świetle obowiązujących przepisów mogą zostać ujawnione dopiero</w:t>
      </w:r>
      <w:r w:rsidR="000662F6" w:rsidRPr="00A66D7A">
        <w:rPr>
          <w:sz w:val="22"/>
          <w:szCs w:val="22"/>
        </w:rPr>
        <w:t xml:space="preserve"> z ponad rocznym opóźnieniem. Dodatkowo potwierdza to </w:t>
      </w:r>
      <w:r w:rsidRPr="00A66D7A">
        <w:rPr>
          <w:sz w:val="22"/>
          <w:szCs w:val="22"/>
        </w:rPr>
        <w:t xml:space="preserve">konieczność zapewnienia akcjonariuszom mniejszościowych byłych spółek giełdowych </w:t>
      </w:r>
      <w:r w:rsidR="000662F6" w:rsidRPr="00A66D7A">
        <w:rPr>
          <w:sz w:val="22"/>
          <w:szCs w:val="22"/>
        </w:rPr>
        <w:t xml:space="preserve">odpowiednich regulacji umożliwiających </w:t>
      </w:r>
      <w:r w:rsidR="00D97B81" w:rsidRPr="00A66D7A">
        <w:rPr>
          <w:sz w:val="22"/>
          <w:szCs w:val="22"/>
        </w:rPr>
        <w:t>sformułowanie przez nich roszczenia o wykup akcji</w:t>
      </w:r>
      <w:r w:rsidR="00B21DEA" w:rsidRPr="00A66D7A">
        <w:rPr>
          <w:sz w:val="22"/>
          <w:szCs w:val="22"/>
        </w:rPr>
        <w:t>, a tym samym</w:t>
      </w:r>
      <w:r w:rsidR="00577C2B" w:rsidRPr="00A66D7A">
        <w:rPr>
          <w:sz w:val="22"/>
          <w:szCs w:val="22"/>
        </w:rPr>
        <w:t xml:space="preserve"> zapewniających</w:t>
      </w:r>
      <w:r w:rsidR="00B21DEA" w:rsidRPr="00A66D7A">
        <w:rPr>
          <w:sz w:val="22"/>
          <w:szCs w:val="22"/>
        </w:rPr>
        <w:t xml:space="preserve"> możliwoś</w:t>
      </w:r>
      <w:r w:rsidR="00577C2B" w:rsidRPr="00A66D7A">
        <w:rPr>
          <w:sz w:val="22"/>
          <w:szCs w:val="22"/>
        </w:rPr>
        <w:t>ć</w:t>
      </w:r>
      <w:r w:rsidR="00B21DEA" w:rsidRPr="00A66D7A">
        <w:rPr>
          <w:sz w:val="22"/>
          <w:szCs w:val="22"/>
        </w:rPr>
        <w:t xml:space="preserve"> wystąpienia ze spółki.</w:t>
      </w:r>
    </w:p>
    <w:p w14:paraId="7F5AB62B" w14:textId="77777777" w:rsidR="0074471E" w:rsidRPr="00A66D7A" w:rsidRDefault="00F1199B" w:rsidP="008C76C0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>Podsumowując, o</w:t>
      </w:r>
      <w:r w:rsidR="00E63634" w:rsidRPr="00A66D7A">
        <w:rPr>
          <w:sz w:val="22"/>
          <w:szCs w:val="22"/>
        </w:rPr>
        <w:t>becn</w:t>
      </w:r>
      <w:r w:rsidRPr="00A66D7A">
        <w:rPr>
          <w:sz w:val="22"/>
          <w:szCs w:val="22"/>
        </w:rPr>
        <w:t>ie obowiązujące</w:t>
      </w:r>
      <w:r w:rsidR="00E63634" w:rsidRPr="00A66D7A">
        <w:rPr>
          <w:sz w:val="22"/>
          <w:szCs w:val="22"/>
        </w:rPr>
        <w:t xml:space="preserve"> regulacje wykluczają </w:t>
      </w:r>
      <w:r w:rsidRPr="00A66D7A">
        <w:rPr>
          <w:sz w:val="22"/>
          <w:szCs w:val="22"/>
        </w:rPr>
        <w:t>możliwość niespóźnionej i efektywnej</w:t>
      </w:r>
      <w:r w:rsidR="00E63634" w:rsidRPr="00A66D7A">
        <w:rPr>
          <w:sz w:val="22"/>
          <w:szCs w:val="22"/>
        </w:rPr>
        <w:t xml:space="preserve"> reakcj</w:t>
      </w:r>
      <w:r w:rsidR="00CF1342" w:rsidRPr="00A66D7A">
        <w:rPr>
          <w:sz w:val="22"/>
          <w:szCs w:val="22"/>
        </w:rPr>
        <w:t>i</w:t>
      </w:r>
      <w:r w:rsidR="00E63634" w:rsidRPr="00A66D7A">
        <w:rPr>
          <w:sz w:val="22"/>
          <w:szCs w:val="22"/>
        </w:rPr>
        <w:t xml:space="preserve"> akcjonariuszy mniejszościowych na zdarzenia</w:t>
      </w:r>
      <w:r w:rsidR="00320316" w:rsidRPr="00A66D7A">
        <w:rPr>
          <w:sz w:val="22"/>
          <w:szCs w:val="22"/>
        </w:rPr>
        <w:t>,</w:t>
      </w:r>
      <w:r w:rsidRPr="00A66D7A">
        <w:rPr>
          <w:sz w:val="22"/>
          <w:szCs w:val="22"/>
        </w:rPr>
        <w:t xml:space="preserve"> które w</w:t>
      </w:r>
      <w:r w:rsidR="00904DEE" w:rsidRPr="00A66D7A">
        <w:rPr>
          <w:sz w:val="22"/>
          <w:szCs w:val="22"/>
        </w:rPr>
        <w:t xml:space="preserve"> ich</w:t>
      </w:r>
      <w:r w:rsidRPr="00A66D7A">
        <w:rPr>
          <w:sz w:val="22"/>
          <w:szCs w:val="22"/>
        </w:rPr>
        <w:t xml:space="preserve"> ocenie </w:t>
      </w:r>
      <w:r w:rsidR="00904DEE" w:rsidRPr="00A66D7A">
        <w:rPr>
          <w:sz w:val="22"/>
          <w:szCs w:val="22"/>
        </w:rPr>
        <w:t>mogą</w:t>
      </w:r>
      <w:r w:rsidRPr="00A66D7A">
        <w:rPr>
          <w:sz w:val="22"/>
          <w:szCs w:val="22"/>
        </w:rPr>
        <w:t xml:space="preserve"> </w:t>
      </w:r>
      <w:r w:rsidR="007074E8" w:rsidRPr="00A66D7A">
        <w:rPr>
          <w:sz w:val="22"/>
          <w:szCs w:val="22"/>
        </w:rPr>
        <w:t xml:space="preserve">skutkować szkodą po stronie spółki, a tym samym </w:t>
      </w:r>
      <w:r w:rsidR="006B2E49" w:rsidRPr="00A66D7A">
        <w:rPr>
          <w:sz w:val="22"/>
          <w:szCs w:val="22"/>
        </w:rPr>
        <w:t>mogą</w:t>
      </w:r>
      <w:r w:rsidR="007074E8" w:rsidRPr="00A66D7A">
        <w:rPr>
          <w:sz w:val="22"/>
          <w:szCs w:val="22"/>
        </w:rPr>
        <w:t xml:space="preserve"> skutkować pokrzywdzeniem </w:t>
      </w:r>
      <w:r w:rsidR="00790024" w:rsidRPr="00A66D7A">
        <w:rPr>
          <w:sz w:val="22"/>
          <w:szCs w:val="22"/>
        </w:rPr>
        <w:t>i</w:t>
      </w:r>
      <w:r w:rsidR="006B2E49" w:rsidRPr="00A66D7A">
        <w:rPr>
          <w:sz w:val="22"/>
          <w:szCs w:val="22"/>
        </w:rPr>
        <w:t>ch interesów</w:t>
      </w:r>
      <w:r w:rsidR="00790024" w:rsidRPr="00A66D7A">
        <w:rPr>
          <w:sz w:val="22"/>
          <w:szCs w:val="22"/>
        </w:rPr>
        <w:t>.</w:t>
      </w:r>
      <w:r w:rsidR="0029008A" w:rsidRPr="00A66D7A">
        <w:rPr>
          <w:sz w:val="22"/>
          <w:szCs w:val="22"/>
        </w:rPr>
        <w:t xml:space="preserve"> W </w:t>
      </w:r>
      <w:r w:rsidR="0074471E" w:rsidRPr="00A66D7A">
        <w:rPr>
          <w:sz w:val="22"/>
          <w:szCs w:val="22"/>
        </w:rPr>
        <w:t>związku z powyższym szczegó</w:t>
      </w:r>
      <w:r w:rsidR="001F15B4" w:rsidRPr="00A66D7A">
        <w:rPr>
          <w:sz w:val="22"/>
          <w:szCs w:val="22"/>
        </w:rPr>
        <w:t>l</w:t>
      </w:r>
      <w:r w:rsidR="0074471E" w:rsidRPr="00A66D7A">
        <w:rPr>
          <w:sz w:val="22"/>
          <w:szCs w:val="22"/>
        </w:rPr>
        <w:t>na</w:t>
      </w:r>
      <w:r w:rsidR="0029008A" w:rsidRPr="00A66D7A">
        <w:rPr>
          <w:sz w:val="22"/>
          <w:szCs w:val="22"/>
        </w:rPr>
        <w:t xml:space="preserve"> </w:t>
      </w:r>
      <w:r w:rsidR="00E63634" w:rsidRPr="00A66D7A">
        <w:rPr>
          <w:sz w:val="22"/>
          <w:szCs w:val="22"/>
        </w:rPr>
        <w:t>sytuacja akcjonariuszy byłych spółek giełdowych, do których zastosowanie znajdują przepisy ustawy o ofercie publicznej, uzasadnia wprowadzenie wnioskowan</w:t>
      </w:r>
      <w:r w:rsidR="0074471E" w:rsidRPr="00A66D7A">
        <w:rPr>
          <w:sz w:val="22"/>
          <w:szCs w:val="22"/>
        </w:rPr>
        <w:t>ych w petycji</w:t>
      </w:r>
      <w:r w:rsidR="00E63634" w:rsidRPr="00A66D7A">
        <w:rPr>
          <w:sz w:val="22"/>
          <w:szCs w:val="22"/>
        </w:rPr>
        <w:t xml:space="preserve"> regulacji.</w:t>
      </w:r>
      <w:r w:rsidR="00443F1F" w:rsidRPr="00A66D7A">
        <w:rPr>
          <w:sz w:val="22"/>
          <w:szCs w:val="22"/>
        </w:rPr>
        <w:t xml:space="preserve"> </w:t>
      </w:r>
    </w:p>
    <w:p w14:paraId="560B95BE" w14:textId="77777777" w:rsidR="001F15B4" w:rsidRPr="00A66D7A" w:rsidRDefault="00D80F0A" w:rsidP="008C76C0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>Dodać trzeba, iż p</w:t>
      </w:r>
      <w:r w:rsidR="0074471E" w:rsidRPr="00A66D7A">
        <w:rPr>
          <w:sz w:val="22"/>
          <w:szCs w:val="22"/>
        </w:rPr>
        <w:t>ostulat</w:t>
      </w:r>
      <w:r w:rsidR="001F15B4" w:rsidRPr="00A66D7A">
        <w:rPr>
          <w:sz w:val="22"/>
          <w:szCs w:val="22"/>
        </w:rPr>
        <w:t>y zawarte w petycji</w:t>
      </w:r>
      <w:r w:rsidR="0074471E" w:rsidRPr="00A66D7A">
        <w:rPr>
          <w:sz w:val="22"/>
          <w:szCs w:val="22"/>
        </w:rPr>
        <w:t xml:space="preserve"> wydaj</w:t>
      </w:r>
      <w:r w:rsidR="001F15B4" w:rsidRPr="00A66D7A">
        <w:rPr>
          <w:sz w:val="22"/>
          <w:szCs w:val="22"/>
        </w:rPr>
        <w:t>ą</w:t>
      </w:r>
      <w:r w:rsidR="0074471E" w:rsidRPr="00A66D7A">
        <w:rPr>
          <w:sz w:val="22"/>
          <w:szCs w:val="22"/>
        </w:rPr>
        <w:t xml:space="preserve"> się w szczególności uzasadnion</w:t>
      </w:r>
      <w:r w:rsidR="001F15B4" w:rsidRPr="00A66D7A">
        <w:rPr>
          <w:sz w:val="22"/>
          <w:szCs w:val="22"/>
        </w:rPr>
        <w:t>e</w:t>
      </w:r>
      <w:r w:rsidR="0074471E" w:rsidRPr="00A66D7A">
        <w:rPr>
          <w:sz w:val="22"/>
          <w:szCs w:val="22"/>
        </w:rPr>
        <w:t xml:space="preserve"> w</w:t>
      </w:r>
      <w:r w:rsidR="001F15B4" w:rsidRPr="00A66D7A">
        <w:rPr>
          <w:sz w:val="22"/>
          <w:szCs w:val="22"/>
        </w:rPr>
        <w:t xml:space="preserve">obec </w:t>
      </w:r>
      <w:r w:rsidR="0074471E" w:rsidRPr="00A66D7A">
        <w:rPr>
          <w:sz w:val="22"/>
          <w:szCs w:val="22"/>
        </w:rPr>
        <w:t>kierunku obecnie prowadzonych prac legislacyjnych dotyczących mi</w:t>
      </w:r>
      <w:r w:rsidR="001F15B4" w:rsidRPr="00A66D7A">
        <w:rPr>
          <w:sz w:val="22"/>
          <w:szCs w:val="22"/>
        </w:rPr>
        <w:t xml:space="preserve">ędzy innymi zmiany przepisów ustawy o ofercie publicznej. Celem </w:t>
      </w:r>
      <w:r w:rsidR="006B4C10" w:rsidRPr="00A66D7A">
        <w:rPr>
          <w:sz w:val="22"/>
          <w:szCs w:val="22"/>
        </w:rPr>
        <w:t>postulowanych zmian jest bowiem zwiększenia stopnia ochrony akcjonariuszy m</w:t>
      </w:r>
      <w:r w:rsidR="00C358FE" w:rsidRPr="00A66D7A">
        <w:rPr>
          <w:sz w:val="22"/>
          <w:szCs w:val="22"/>
        </w:rPr>
        <w:t>niejszościowych na rynku finansowym.</w:t>
      </w:r>
    </w:p>
    <w:p w14:paraId="157C7943" w14:textId="77777777" w:rsidR="00EE7440" w:rsidRPr="00A66D7A" w:rsidRDefault="001F15B4" w:rsidP="008C76C0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 xml:space="preserve">Postulaty te wpisują się również w </w:t>
      </w:r>
      <w:r w:rsidR="00E97835" w:rsidRPr="00A66D7A">
        <w:rPr>
          <w:sz w:val="22"/>
          <w:szCs w:val="22"/>
        </w:rPr>
        <w:t>kierunek</w:t>
      </w:r>
      <w:r w:rsidRPr="00A66D7A">
        <w:rPr>
          <w:sz w:val="22"/>
          <w:szCs w:val="22"/>
        </w:rPr>
        <w:t xml:space="preserve"> przyjętych już zmian</w:t>
      </w:r>
      <w:r w:rsidR="003D6CDD" w:rsidRPr="00A66D7A">
        <w:rPr>
          <w:sz w:val="22"/>
          <w:szCs w:val="22"/>
        </w:rPr>
        <w:t xml:space="preserve"> w k.s.h.</w:t>
      </w:r>
      <w:r w:rsidRPr="00A66D7A">
        <w:rPr>
          <w:sz w:val="22"/>
          <w:szCs w:val="22"/>
        </w:rPr>
        <w:t xml:space="preserve"> </w:t>
      </w:r>
      <w:r w:rsidR="00DC24FB" w:rsidRPr="00A66D7A">
        <w:rPr>
          <w:sz w:val="22"/>
          <w:szCs w:val="22"/>
        </w:rPr>
        <w:t>oczekując</w:t>
      </w:r>
      <w:r w:rsidR="003D6CDD" w:rsidRPr="00A66D7A">
        <w:rPr>
          <w:sz w:val="22"/>
          <w:szCs w:val="22"/>
        </w:rPr>
        <w:t>ych</w:t>
      </w:r>
      <w:r w:rsidR="00DC24FB" w:rsidRPr="00A66D7A">
        <w:rPr>
          <w:sz w:val="22"/>
          <w:szCs w:val="22"/>
        </w:rPr>
        <w:t xml:space="preserve"> na wejście w życie</w:t>
      </w:r>
      <w:r w:rsidR="00790024" w:rsidRPr="00A66D7A">
        <w:rPr>
          <w:sz w:val="22"/>
          <w:szCs w:val="22"/>
        </w:rPr>
        <w:t xml:space="preserve"> </w:t>
      </w:r>
      <w:r w:rsidR="00DC24FB" w:rsidRPr="00A66D7A">
        <w:rPr>
          <w:sz w:val="22"/>
          <w:szCs w:val="22"/>
        </w:rPr>
        <w:t>z dniem 12 października 2022 r.</w:t>
      </w:r>
      <w:r w:rsidR="003D6CDD" w:rsidRPr="00A66D7A">
        <w:rPr>
          <w:sz w:val="22"/>
          <w:szCs w:val="22"/>
        </w:rPr>
        <w:t>, a których celem</w:t>
      </w:r>
      <w:r w:rsidRPr="00A66D7A">
        <w:rPr>
          <w:sz w:val="22"/>
          <w:szCs w:val="22"/>
        </w:rPr>
        <w:t xml:space="preserve"> </w:t>
      </w:r>
      <w:r w:rsidR="00DC24FB" w:rsidRPr="00A66D7A">
        <w:rPr>
          <w:sz w:val="22"/>
          <w:szCs w:val="22"/>
        </w:rPr>
        <w:t>jest</w:t>
      </w:r>
      <w:r w:rsidR="00790024" w:rsidRPr="00A66D7A">
        <w:rPr>
          <w:sz w:val="22"/>
          <w:szCs w:val="22"/>
        </w:rPr>
        <w:t xml:space="preserve"> zapewnienia ochrony akcjonariuszy mniejszościowych spółek zależnych. </w:t>
      </w:r>
      <w:r w:rsidR="00EE7440" w:rsidRPr="00A66D7A">
        <w:rPr>
          <w:sz w:val="22"/>
          <w:szCs w:val="22"/>
        </w:rPr>
        <w:t xml:space="preserve">Skoro </w:t>
      </w:r>
      <w:r w:rsidR="00DC24FB" w:rsidRPr="00A66D7A">
        <w:rPr>
          <w:sz w:val="22"/>
          <w:szCs w:val="22"/>
        </w:rPr>
        <w:t>bowiem tego rodzaju</w:t>
      </w:r>
      <w:r w:rsidR="00EE7440" w:rsidRPr="00A66D7A">
        <w:rPr>
          <w:sz w:val="22"/>
          <w:szCs w:val="22"/>
        </w:rPr>
        <w:t xml:space="preserve"> ochrona została zapewniona akcjonariuszom mniejszościowym spółek zależnych, </w:t>
      </w:r>
      <w:r w:rsidR="00DB303C" w:rsidRPr="00A66D7A">
        <w:rPr>
          <w:sz w:val="22"/>
          <w:szCs w:val="22"/>
        </w:rPr>
        <w:t>tak</w:t>
      </w:r>
      <w:r w:rsidR="00BD687C" w:rsidRPr="00A66D7A">
        <w:rPr>
          <w:sz w:val="22"/>
          <w:szCs w:val="22"/>
        </w:rPr>
        <w:t>a</w:t>
      </w:r>
      <w:r w:rsidR="00DB303C" w:rsidRPr="00A66D7A">
        <w:rPr>
          <w:sz w:val="22"/>
          <w:szCs w:val="22"/>
        </w:rPr>
        <w:t xml:space="preserve"> ochrona </w:t>
      </w:r>
      <w:r w:rsidR="00EE7440" w:rsidRPr="00A66D7A">
        <w:rPr>
          <w:sz w:val="22"/>
          <w:szCs w:val="22"/>
        </w:rPr>
        <w:t xml:space="preserve">tym bardziej winna zostać zapewniona akcjonariuszom byłych spółek giełdowych, których akcje zostały wykluczone z obrotu na rynku regulowanym wbrew woli </w:t>
      </w:r>
      <w:r w:rsidR="00DC24FB" w:rsidRPr="00A66D7A">
        <w:rPr>
          <w:sz w:val="22"/>
          <w:szCs w:val="22"/>
        </w:rPr>
        <w:t xml:space="preserve">i bez winy </w:t>
      </w:r>
      <w:r w:rsidR="00EE7440" w:rsidRPr="00A66D7A">
        <w:rPr>
          <w:sz w:val="22"/>
          <w:szCs w:val="22"/>
        </w:rPr>
        <w:t>akcjonariuszy</w:t>
      </w:r>
      <w:r w:rsidR="00DC24FB" w:rsidRPr="00A66D7A">
        <w:rPr>
          <w:sz w:val="22"/>
          <w:szCs w:val="22"/>
        </w:rPr>
        <w:t xml:space="preserve"> mniejszościowych</w:t>
      </w:r>
      <w:r w:rsidR="00EE7440" w:rsidRPr="00A66D7A">
        <w:rPr>
          <w:sz w:val="22"/>
          <w:szCs w:val="22"/>
        </w:rPr>
        <w:t xml:space="preserve">, </w:t>
      </w:r>
      <w:r w:rsidR="00DA7C8A" w:rsidRPr="00A66D7A">
        <w:rPr>
          <w:sz w:val="22"/>
          <w:szCs w:val="22"/>
        </w:rPr>
        <w:t>w sytuacji, gdy</w:t>
      </w:r>
      <w:r w:rsidR="00EE7440" w:rsidRPr="00A66D7A">
        <w:rPr>
          <w:sz w:val="22"/>
          <w:szCs w:val="22"/>
        </w:rPr>
        <w:t xml:space="preserve"> przedstawione w toku wezwania warunki</w:t>
      </w:r>
      <w:r w:rsidR="00573D91" w:rsidRPr="00A66D7A">
        <w:rPr>
          <w:sz w:val="22"/>
          <w:szCs w:val="22"/>
        </w:rPr>
        <w:t xml:space="preserve"> wykupu</w:t>
      </w:r>
      <w:r w:rsidR="00EE7440" w:rsidRPr="00A66D7A">
        <w:rPr>
          <w:sz w:val="22"/>
          <w:szCs w:val="22"/>
        </w:rPr>
        <w:t xml:space="preserve"> nie podlegały w świetle obowiązujących </w:t>
      </w:r>
      <w:r w:rsidR="00DC24FB" w:rsidRPr="00A66D7A">
        <w:rPr>
          <w:sz w:val="22"/>
          <w:szCs w:val="22"/>
        </w:rPr>
        <w:t xml:space="preserve">wcześniej </w:t>
      </w:r>
      <w:r w:rsidR="00EE7440" w:rsidRPr="00A66D7A">
        <w:rPr>
          <w:sz w:val="22"/>
          <w:szCs w:val="22"/>
        </w:rPr>
        <w:t>przepisów jak</w:t>
      </w:r>
      <w:r w:rsidR="00441EAB" w:rsidRPr="00A66D7A">
        <w:rPr>
          <w:sz w:val="22"/>
          <w:szCs w:val="22"/>
        </w:rPr>
        <w:t xml:space="preserve">iejkolwiek </w:t>
      </w:r>
      <w:r w:rsidR="00573D91" w:rsidRPr="00A66D7A">
        <w:rPr>
          <w:sz w:val="22"/>
          <w:szCs w:val="22"/>
        </w:rPr>
        <w:t xml:space="preserve">sprawiedliwej </w:t>
      </w:r>
      <w:r w:rsidR="00441EAB" w:rsidRPr="00A66D7A">
        <w:rPr>
          <w:sz w:val="22"/>
          <w:szCs w:val="22"/>
        </w:rPr>
        <w:t>weryfikacji.</w:t>
      </w:r>
    </w:p>
    <w:p w14:paraId="6344ADA5" w14:textId="77777777" w:rsidR="00443F1F" w:rsidRDefault="00443F1F" w:rsidP="008C76C0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>Dodać przy tym należy, iż</w:t>
      </w:r>
      <w:r w:rsidR="00E73A43" w:rsidRPr="00A66D7A">
        <w:rPr>
          <w:sz w:val="22"/>
          <w:szCs w:val="22"/>
        </w:rPr>
        <w:t xml:space="preserve"> wbrew stanowisku Urzędu Komisji Nadzoru Finansowego</w:t>
      </w:r>
      <w:r w:rsidRPr="00A66D7A">
        <w:rPr>
          <w:sz w:val="22"/>
          <w:szCs w:val="22"/>
        </w:rPr>
        <w:t xml:space="preserve"> przedłożone postulaty</w:t>
      </w:r>
      <w:r w:rsidR="00D24452" w:rsidRPr="00A66D7A">
        <w:rPr>
          <w:sz w:val="22"/>
          <w:szCs w:val="22"/>
        </w:rPr>
        <w:t xml:space="preserve"> legislacyjne</w:t>
      </w:r>
      <w:r w:rsidRPr="00A66D7A">
        <w:rPr>
          <w:sz w:val="22"/>
          <w:szCs w:val="22"/>
        </w:rPr>
        <w:t xml:space="preserve"> nie </w:t>
      </w:r>
      <w:r w:rsidR="00087536" w:rsidRPr="00A66D7A">
        <w:rPr>
          <w:sz w:val="22"/>
          <w:szCs w:val="22"/>
        </w:rPr>
        <w:t>zostały</w:t>
      </w:r>
      <w:r w:rsidRPr="00A66D7A">
        <w:rPr>
          <w:sz w:val="22"/>
          <w:szCs w:val="22"/>
        </w:rPr>
        <w:t xml:space="preserve"> dostosowane wyłącznie do stanu faktycznego Elektrim S.A., lecz do wszystkich podmiotów, które objęte </w:t>
      </w:r>
      <w:r w:rsidR="00DE4AAC" w:rsidRPr="00A66D7A">
        <w:rPr>
          <w:sz w:val="22"/>
          <w:szCs w:val="22"/>
        </w:rPr>
        <w:t>zostały</w:t>
      </w:r>
      <w:r w:rsidRPr="00A66D7A">
        <w:rPr>
          <w:sz w:val="22"/>
          <w:szCs w:val="22"/>
        </w:rPr>
        <w:t xml:space="preserve"> dyspozycją przepisu art. 27 ustawy nowelizującej</w:t>
      </w:r>
      <w:r w:rsidR="00903603" w:rsidRPr="00A66D7A">
        <w:rPr>
          <w:sz w:val="22"/>
          <w:szCs w:val="22"/>
        </w:rPr>
        <w:t>.</w:t>
      </w:r>
      <w:r w:rsidR="00441EAB" w:rsidRPr="00A66D7A">
        <w:rPr>
          <w:sz w:val="22"/>
          <w:szCs w:val="22"/>
        </w:rPr>
        <w:t xml:space="preserve"> </w:t>
      </w:r>
      <w:r w:rsidR="0024483D" w:rsidRPr="00A66D7A">
        <w:rPr>
          <w:sz w:val="22"/>
          <w:szCs w:val="22"/>
        </w:rPr>
        <w:t xml:space="preserve">Ewentualnym </w:t>
      </w:r>
      <w:r w:rsidR="00C81CD7" w:rsidRPr="00A66D7A">
        <w:rPr>
          <w:sz w:val="22"/>
          <w:szCs w:val="22"/>
        </w:rPr>
        <w:t>adresatem</w:t>
      </w:r>
      <w:r w:rsidR="00441EAB" w:rsidRPr="00A66D7A">
        <w:rPr>
          <w:sz w:val="22"/>
          <w:szCs w:val="22"/>
        </w:rPr>
        <w:t xml:space="preserve"> postulowanych zmian byliby </w:t>
      </w:r>
      <w:r w:rsidR="0010711D" w:rsidRPr="00A66D7A">
        <w:rPr>
          <w:sz w:val="22"/>
          <w:szCs w:val="22"/>
        </w:rPr>
        <w:t>bowiem</w:t>
      </w:r>
      <w:r w:rsidR="00441EAB" w:rsidRPr="00A66D7A">
        <w:rPr>
          <w:sz w:val="22"/>
          <w:szCs w:val="22"/>
        </w:rPr>
        <w:t xml:space="preserve"> akcjonariusze wszystkich byłych spółek giełdowych, do których wciąż zastosowanie znajdują przepisy ustawy o ofercie publiczn</w:t>
      </w:r>
      <w:r w:rsidR="00F66D28" w:rsidRPr="00A66D7A">
        <w:rPr>
          <w:sz w:val="22"/>
          <w:szCs w:val="22"/>
        </w:rPr>
        <w:t>ej.</w:t>
      </w:r>
      <w:r w:rsidR="003547CD" w:rsidRPr="00A66D7A">
        <w:rPr>
          <w:sz w:val="22"/>
          <w:szCs w:val="22"/>
        </w:rPr>
        <w:t xml:space="preserve"> </w:t>
      </w:r>
      <w:r w:rsidR="00057BE5" w:rsidRPr="00A66D7A">
        <w:rPr>
          <w:sz w:val="22"/>
          <w:szCs w:val="22"/>
        </w:rPr>
        <w:t>Postulowane r</w:t>
      </w:r>
      <w:r w:rsidR="003547CD" w:rsidRPr="00A66D7A">
        <w:rPr>
          <w:sz w:val="22"/>
          <w:szCs w:val="22"/>
        </w:rPr>
        <w:t>egulacje skutkowały</w:t>
      </w:r>
      <w:r w:rsidR="00057BE5" w:rsidRPr="00A66D7A">
        <w:rPr>
          <w:sz w:val="22"/>
          <w:szCs w:val="22"/>
        </w:rPr>
        <w:t>by</w:t>
      </w:r>
      <w:r w:rsidR="00A04FB1" w:rsidRPr="00A66D7A">
        <w:rPr>
          <w:sz w:val="22"/>
          <w:szCs w:val="22"/>
        </w:rPr>
        <w:t xml:space="preserve"> przy tym</w:t>
      </w:r>
      <w:r w:rsidR="003547CD" w:rsidRPr="00A66D7A">
        <w:rPr>
          <w:sz w:val="22"/>
          <w:szCs w:val="22"/>
        </w:rPr>
        <w:t xml:space="preserve"> wzmocnieniem </w:t>
      </w:r>
      <w:r w:rsidR="00057BE5" w:rsidRPr="00A66D7A">
        <w:rPr>
          <w:sz w:val="22"/>
          <w:szCs w:val="22"/>
        </w:rPr>
        <w:t>zaufania</w:t>
      </w:r>
      <w:r w:rsidR="008158FC" w:rsidRPr="00A66D7A">
        <w:rPr>
          <w:sz w:val="22"/>
          <w:szCs w:val="22"/>
        </w:rPr>
        <w:t xml:space="preserve"> inwestorów</w:t>
      </w:r>
      <w:r w:rsidR="00057BE5" w:rsidRPr="00A66D7A">
        <w:rPr>
          <w:sz w:val="22"/>
          <w:szCs w:val="22"/>
        </w:rPr>
        <w:t xml:space="preserve"> do rynków finansowych</w:t>
      </w:r>
      <w:r w:rsidR="008158FC" w:rsidRPr="00A66D7A">
        <w:rPr>
          <w:sz w:val="22"/>
          <w:szCs w:val="22"/>
        </w:rPr>
        <w:t xml:space="preserve">, a także </w:t>
      </w:r>
      <w:r w:rsidR="004D5790" w:rsidRPr="00A66D7A">
        <w:rPr>
          <w:sz w:val="22"/>
          <w:szCs w:val="22"/>
        </w:rPr>
        <w:t xml:space="preserve">zaufania </w:t>
      </w:r>
      <w:r w:rsidR="008158FC" w:rsidRPr="00A66D7A">
        <w:rPr>
          <w:sz w:val="22"/>
          <w:szCs w:val="22"/>
        </w:rPr>
        <w:t>do instytucji nadzoru</w:t>
      </w:r>
      <w:r w:rsidR="004D5790" w:rsidRPr="00A66D7A">
        <w:rPr>
          <w:sz w:val="22"/>
          <w:szCs w:val="22"/>
        </w:rPr>
        <w:t xml:space="preserve"> finansowego czy kapitałowego</w:t>
      </w:r>
      <w:r w:rsidR="001439A3" w:rsidRPr="00A66D7A">
        <w:rPr>
          <w:sz w:val="22"/>
          <w:szCs w:val="22"/>
        </w:rPr>
        <w:t>.</w:t>
      </w:r>
      <w:r w:rsidR="00B61C37" w:rsidRPr="00A66D7A">
        <w:rPr>
          <w:sz w:val="22"/>
          <w:szCs w:val="22"/>
        </w:rPr>
        <w:t xml:space="preserve"> W obecnej sytuacji akcjonariusze mniejszościowi tego rodzaju spółek czują się bowiem pozbawieni dostatecznego wsparcia państwa w zakresie ochrony ich interesów.</w:t>
      </w:r>
    </w:p>
    <w:p w14:paraId="237CEC81" w14:textId="235CEEA4" w:rsidR="001B70C3" w:rsidRDefault="000F3908" w:rsidP="008C76C0">
      <w:pPr>
        <w:pStyle w:val="NormalnyWeb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 </w:t>
      </w:r>
      <w:r w:rsidR="00DA21FA">
        <w:rPr>
          <w:sz w:val="22"/>
          <w:szCs w:val="22"/>
        </w:rPr>
        <w:t xml:space="preserve">także podkreślić, iż wg stanu na dzień 15 stycznia 2022 r. w </w:t>
      </w:r>
      <w:r w:rsidR="002606A8">
        <w:rPr>
          <w:sz w:val="22"/>
          <w:szCs w:val="22"/>
        </w:rPr>
        <w:t>skład akcjonariatu Elektrim S.A. wchodziło ponad 6800 akcjonariuszy mniejszościowych</w:t>
      </w:r>
      <w:r w:rsidR="001B70C3">
        <w:rPr>
          <w:sz w:val="22"/>
          <w:szCs w:val="22"/>
        </w:rPr>
        <w:t>, które wraz z rodzinami stanowią liczną grupę osób pokrzywdzonych zaistniałą sytuacją.</w:t>
      </w:r>
    </w:p>
    <w:p w14:paraId="653D8CBF" w14:textId="2B5520C1" w:rsidR="001B70C3" w:rsidRPr="001B70C3" w:rsidRDefault="001B70C3" w:rsidP="008C76C0">
      <w:pPr>
        <w:pStyle w:val="NormalnyWeb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Dowód: lista KDPW wg stanu na 15 stycznia 2022 r.</w:t>
      </w:r>
    </w:p>
    <w:p w14:paraId="773C5C82" w14:textId="4421D084" w:rsidR="000F3908" w:rsidRPr="00A66D7A" w:rsidRDefault="0041412F" w:rsidP="008C76C0">
      <w:pPr>
        <w:pStyle w:val="NormalnyWeb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Tego rodzaju osób w Polsce jest tymczasem znacznie więcej. Stosowna regulacja pozwoliłaby zatem rozwiązać istniejące </w:t>
      </w:r>
      <w:r w:rsidR="003B0FAB">
        <w:rPr>
          <w:sz w:val="22"/>
          <w:szCs w:val="22"/>
        </w:rPr>
        <w:t>problemy i zapełniłaby pewną lukę prawną, która uniemożliwia akcjonariuszom wyjście w zaistniałej sytuacji z</w:t>
      </w:r>
      <w:r w:rsidR="0052627D">
        <w:rPr>
          <w:sz w:val="22"/>
          <w:szCs w:val="22"/>
        </w:rPr>
        <w:t xml:space="preserve"> tego rodzaju spółek.</w:t>
      </w:r>
    </w:p>
    <w:p w14:paraId="5CC67685" w14:textId="302BD4EF" w:rsidR="00903603" w:rsidRPr="00A66D7A" w:rsidRDefault="00087536" w:rsidP="008C76C0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>Nawiązując z kolei</w:t>
      </w:r>
      <w:r w:rsidR="00903603" w:rsidRPr="00A66D7A">
        <w:rPr>
          <w:sz w:val="22"/>
          <w:szCs w:val="22"/>
        </w:rPr>
        <w:t xml:space="preserve"> do zaproponowanego w petycji kryterium wykupu </w:t>
      </w:r>
      <w:r w:rsidR="00375DE4" w:rsidRPr="00A66D7A">
        <w:rPr>
          <w:sz w:val="22"/>
          <w:szCs w:val="22"/>
        </w:rPr>
        <w:t>odnoszącego się do porównania</w:t>
      </w:r>
      <w:r w:rsidR="00903603" w:rsidRPr="00A66D7A">
        <w:rPr>
          <w:sz w:val="22"/>
          <w:szCs w:val="22"/>
        </w:rPr>
        <w:t xml:space="preserve"> historycznych wycen akcji </w:t>
      </w:r>
      <w:r w:rsidR="00353FD1" w:rsidRPr="00A66D7A">
        <w:rPr>
          <w:sz w:val="22"/>
          <w:szCs w:val="22"/>
        </w:rPr>
        <w:t>z ówczesną ceną godzi</w:t>
      </w:r>
      <w:r w:rsidR="00C67C1E" w:rsidRPr="00A66D7A">
        <w:rPr>
          <w:sz w:val="22"/>
          <w:szCs w:val="22"/>
        </w:rPr>
        <w:t xml:space="preserve">wą </w:t>
      </w:r>
      <w:r w:rsidR="007F4BEB" w:rsidRPr="00A66D7A">
        <w:rPr>
          <w:sz w:val="22"/>
          <w:szCs w:val="22"/>
        </w:rPr>
        <w:t xml:space="preserve">oraz negatywnego stanowiska UKNF w </w:t>
      </w:r>
      <w:r w:rsidR="002C3DF8" w:rsidRPr="00A66D7A">
        <w:rPr>
          <w:sz w:val="22"/>
          <w:szCs w:val="22"/>
        </w:rPr>
        <w:t>ko</w:t>
      </w:r>
      <w:r w:rsidR="00C22193">
        <w:rPr>
          <w:sz w:val="22"/>
          <w:szCs w:val="22"/>
        </w:rPr>
        <w:t>n</w:t>
      </w:r>
      <w:r w:rsidR="002C3DF8" w:rsidRPr="00A66D7A">
        <w:rPr>
          <w:sz w:val="22"/>
          <w:szCs w:val="22"/>
        </w:rPr>
        <w:t>tekście</w:t>
      </w:r>
      <w:r w:rsidR="001963F2" w:rsidRPr="00A66D7A">
        <w:rPr>
          <w:sz w:val="22"/>
          <w:szCs w:val="22"/>
        </w:rPr>
        <w:t xml:space="preserve"> </w:t>
      </w:r>
      <w:r w:rsidR="00C67C1E" w:rsidRPr="00A66D7A">
        <w:rPr>
          <w:sz w:val="22"/>
          <w:szCs w:val="22"/>
        </w:rPr>
        <w:t xml:space="preserve">nieostrości zaproponowanego </w:t>
      </w:r>
      <w:r w:rsidR="001963F2" w:rsidRPr="00A66D7A">
        <w:rPr>
          <w:sz w:val="22"/>
          <w:szCs w:val="22"/>
        </w:rPr>
        <w:t>kryterium</w:t>
      </w:r>
      <w:r w:rsidR="007F4BEB" w:rsidRPr="00A66D7A">
        <w:rPr>
          <w:sz w:val="22"/>
          <w:szCs w:val="22"/>
        </w:rPr>
        <w:t xml:space="preserve"> </w:t>
      </w:r>
      <w:r w:rsidR="00903603" w:rsidRPr="00A66D7A">
        <w:rPr>
          <w:sz w:val="22"/>
          <w:szCs w:val="22"/>
        </w:rPr>
        <w:t>– wskazać</w:t>
      </w:r>
      <w:r w:rsidR="00C825B4" w:rsidRPr="00A66D7A">
        <w:rPr>
          <w:sz w:val="22"/>
          <w:szCs w:val="22"/>
        </w:rPr>
        <w:t xml:space="preserve"> należy, iż</w:t>
      </w:r>
      <w:r w:rsidR="00903603" w:rsidRPr="00A66D7A">
        <w:rPr>
          <w:sz w:val="22"/>
          <w:szCs w:val="22"/>
        </w:rPr>
        <w:t xml:space="preserve"> </w:t>
      </w:r>
      <w:r w:rsidR="006B08C9" w:rsidRPr="00A66D7A">
        <w:rPr>
          <w:sz w:val="22"/>
          <w:szCs w:val="22"/>
        </w:rPr>
        <w:t>dopuszczalna wydaje się</w:t>
      </w:r>
      <w:r w:rsidR="006D7BBC" w:rsidRPr="00A66D7A">
        <w:rPr>
          <w:sz w:val="22"/>
          <w:szCs w:val="22"/>
        </w:rPr>
        <w:t xml:space="preserve"> rezygnacj</w:t>
      </w:r>
      <w:r w:rsidR="006B08C9" w:rsidRPr="00A66D7A">
        <w:rPr>
          <w:sz w:val="22"/>
          <w:szCs w:val="22"/>
        </w:rPr>
        <w:t>a</w:t>
      </w:r>
      <w:r w:rsidR="006D7BBC" w:rsidRPr="00A66D7A">
        <w:rPr>
          <w:sz w:val="22"/>
          <w:szCs w:val="22"/>
        </w:rPr>
        <w:t xml:space="preserve"> z </w:t>
      </w:r>
      <w:r w:rsidR="001963F2" w:rsidRPr="00A66D7A">
        <w:rPr>
          <w:sz w:val="22"/>
          <w:szCs w:val="22"/>
        </w:rPr>
        <w:t xml:space="preserve">tej przesłanki </w:t>
      </w:r>
      <w:r w:rsidR="000463A5" w:rsidRPr="00A66D7A">
        <w:rPr>
          <w:sz w:val="22"/>
          <w:szCs w:val="22"/>
        </w:rPr>
        <w:t>dopuszczalności żądania odkupu</w:t>
      </w:r>
      <w:r w:rsidR="002B076A" w:rsidRPr="00A66D7A">
        <w:rPr>
          <w:sz w:val="22"/>
          <w:szCs w:val="22"/>
        </w:rPr>
        <w:t>. Tego typu kryterium nie funkcjonuje</w:t>
      </w:r>
      <w:r w:rsidR="006D7BBC" w:rsidRPr="00A66D7A">
        <w:rPr>
          <w:sz w:val="22"/>
          <w:szCs w:val="22"/>
        </w:rPr>
        <w:t xml:space="preserve"> bowiem </w:t>
      </w:r>
      <w:r w:rsidR="002B076A" w:rsidRPr="00A66D7A">
        <w:rPr>
          <w:sz w:val="22"/>
          <w:szCs w:val="22"/>
        </w:rPr>
        <w:t>w odniesieniu do obowiązującej obecnie regulacji art. 27 ust. 2 ustawy noweliza</w:t>
      </w:r>
      <w:r w:rsidR="00441EAB" w:rsidRPr="00A66D7A">
        <w:rPr>
          <w:sz w:val="22"/>
          <w:szCs w:val="22"/>
        </w:rPr>
        <w:t>cji.</w:t>
      </w:r>
      <w:r w:rsidR="00417810" w:rsidRPr="00A66D7A">
        <w:rPr>
          <w:sz w:val="22"/>
          <w:szCs w:val="22"/>
        </w:rPr>
        <w:t xml:space="preserve"> Zasadne wydaje się </w:t>
      </w:r>
      <w:r w:rsidR="00C825B4" w:rsidRPr="00A66D7A">
        <w:rPr>
          <w:sz w:val="22"/>
          <w:szCs w:val="22"/>
        </w:rPr>
        <w:t>zatem</w:t>
      </w:r>
      <w:r w:rsidR="006D7BBC" w:rsidRPr="00A66D7A">
        <w:rPr>
          <w:sz w:val="22"/>
          <w:szCs w:val="22"/>
        </w:rPr>
        <w:t xml:space="preserve"> </w:t>
      </w:r>
      <w:r w:rsidR="00417810" w:rsidRPr="00A66D7A">
        <w:rPr>
          <w:sz w:val="22"/>
          <w:szCs w:val="22"/>
        </w:rPr>
        <w:t xml:space="preserve">założenie, iż </w:t>
      </w:r>
      <w:r w:rsidR="000C38F1" w:rsidRPr="00A66D7A">
        <w:rPr>
          <w:sz w:val="22"/>
          <w:szCs w:val="22"/>
        </w:rPr>
        <w:t>sam status</w:t>
      </w:r>
      <w:r w:rsidR="00417810" w:rsidRPr="00A66D7A">
        <w:rPr>
          <w:sz w:val="22"/>
          <w:szCs w:val="22"/>
        </w:rPr>
        <w:t xml:space="preserve"> byłych akcjonariuszy spółek giełdowych </w:t>
      </w:r>
      <w:r w:rsidR="000C38F1" w:rsidRPr="00A66D7A">
        <w:rPr>
          <w:sz w:val="22"/>
          <w:szCs w:val="22"/>
        </w:rPr>
        <w:t xml:space="preserve">wynikający z przywołanego przepisu art. 27 ust. 1 ustawy nowelizującej </w:t>
      </w:r>
      <w:r w:rsidR="00842B11" w:rsidRPr="00A66D7A">
        <w:rPr>
          <w:sz w:val="22"/>
          <w:szCs w:val="22"/>
        </w:rPr>
        <w:t xml:space="preserve">samodzielnie </w:t>
      </w:r>
      <w:r w:rsidR="00417810" w:rsidRPr="00A66D7A">
        <w:rPr>
          <w:sz w:val="22"/>
          <w:szCs w:val="22"/>
        </w:rPr>
        <w:t xml:space="preserve">uzasadnia </w:t>
      </w:r>
      <w:r w:rsidR="007F44F8" w:rsidRPr="00A66D7A">
        <w:rPr>
          <w:sz w:val="22"/>
          <w:szCs w:val="22"/>
        </w:rPr>
        <w:t>zapewnienia im możliwości sformułowania roszczenia w przedmiocie żądania wykupu akcji</w:t>
      </w:r>
      <w:r w:rsidR="00417810" w:rsidRPr="00A66D7A">
        <w:rPr>
          <w:sz w:val="22"/>
          <w:szCs w:val="22"/>
        </w:rPr>
        <w:t xml:space="preserve"> </w:t>
      </w:r>
      <w:r w:rsidR="00787502" w:rsidRPr="00A66D7A">
        <w:rPr>
          <w:sz w:val="22"/>
          <w:szCs w:val="22"/>
        </w:rPr>
        <w:t xml:space="preserve"> </w:t>
      </w:r>
      <w:r w:rsidR="00417810" w:rsidRPr="00A66D7A">
        <w:rPr>
          <w:sz w:val="22"/>
          <w:szCs w:val="22"/>
        </w:rPr>
        <w:t xml:space="preserve">niezależnie od historycznych </w:t>
      </w:r>
      <w:r w:rsidR="00ED23A0" w:rsidRPr="00A66D7A">
        <w:rPr>
          <w:sz w:val="22"/>
          <w:szCs w:val="22"/>
        </w:rPr>
        <w:t>uwarunkowań</w:t>
      </w:r>
      <w:r w:rsidR="00417810" w:rsidRPr="00A66D7A">
        <w:rPr>
          <w:sz w:val="22"/>
          <w:szCs w:val="22"/>
        </w:rPr>
        <w:t xml:space="preserve">, których ocena często </w:t>
      </w:r>
      <w:r w:rsidR="00787502" w:rsidRPr="00A66D7A">
        <w:rPr>
          <w:sz w:val="22"/>
          <w:szCs w:val="22"/>
        </w:rPr>
        <w:t>byłaby</w:t>
      </w:r>
      <w:r w:rsidR="00417810" w:rsidRPr="00A66D7A">
        <w:rPr>
          <w:sz w:val="22"/>
          <w:szCs w:val="22"/>
        </w:rPr>
        <w:t xml:space="preserve"> obarczona ryzykiem dodatkowego sporu.</w:t>
      </w:r>
    </w:p>
    <w:p w14:paraId="0D221DBB" w14:textId="77777777" w:rsidR="004020E4" w:rsidRDefault="00DB1B58" w:rsidP="008A4523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 xml:space="preserve">Odnosząc się </w:t>
      </w:r>
      <w:r w:rsidR="00CA1992" w:rsidRPr="00A66D7A">
        <w:rPr>
          <w:sz w:val="22"/>
          <w:szCs w:val="22"/>
        </w:rPr>
        <w:t xml:space="preserve">natomiast </w:t>
      </w:r>
      <w:r w:rsidRPr="00A66D7A">
        <w:rPr>
          <w:sz w:val="22"/>
          <w:szCs w:val="22"/>
        </w:rPr>
        <w:t xml:space="preserve">do </w:t>
      </w:r>
      <w:r w:rsidR="00847A9E" w:rsidRPr="00A66D7A">
        <w:rPr>
          <w:sz w:val="22"/>
          <w:szCs w:val="22"/>
        </w:rPr>
        <w:t>stanowiska UKNF</w:t>
      </w:r>
      <w:r w:rsidRPr="00A66D7A">
        <w:rPr>
          <w:sz w:val="22"/>
          <w:szCs w:val="22"/>
        </w:rPr>
        <w:t xml:space="preserve"> o</w:t>
      </w:r>
      <w:r w:rsidR="00186C7B" w:rsidRPr="00A66D7A">
        <w:rPr>
          <w:sz w:val="22"/>
          <w:szCs w:val="22"/>
        </w:rPr>
        <w:t xml:space="preserve"> możliwości odpowiedzi na </w:t>
      </w:r>
      <w:r w:rsidR="00847A9E" w:rsidRPr="00A66D7A">
        <w:rPr>
          <w:sz w:val="22"/>
          <w:szCs w:val="22"/>
        </w:rPr>
        <w:t xml:space="preserve">kierowane w przeszłości </w:t>
      </w:r>
      <w:r w:rsidR="00BC4113" w:rsidRPr="00A66D7A">
        <w:rPr>
          <w:sz w:val="22"/>
          <w:szCs w:val="22"/>
        </w:rPr>
        <w:t>zaproszenia do składania ofert sprzedaż</w:t>
      </w:r>
      <w:r w:rsidR="00602D32" w:rsidRPr="00A66D7A">
        <w:rPr>
          <w:sz w:val="22"/>
          <w:szCs w:val="22"/>
        </w:rPr>
        <w:t>y akcji</w:t>
      </w:r>
      <w:r w:rsidR="00847A9E" w:rsidRPr="00A66D7A">
        <w:rPr>
          <w:sz w:val="22"/>
          <w:szCs w:val="22"/>
        </w:rPr>
        <w:t xml:space="preserve"> </w:t>
      </w:r>
      <w:r w:rsidR="00186C7B" w:rsidRPr="00A66D7A">
        <w:rPr>
          <w:sz w:val="22"/>
          <w:szCs w:val="22"/>
        </w:rPr>
        <w:t>wskazać należy, iż zaproponowana wówczas w wezwani</w:t>
      </w:r>
      <w:r w:rsidR="00F439EA" w:rsidRPr="00A66D7A">
        <w:rPr>
          <w:sz w:val="22"/>
          <w:szCs w:val="22"/>
        </w:rPr>
        <w:t>ach</w:t>
      </w:r>
      <w:r w:rsidR="007506D4" w:rsidRPr="00A66D7A">
        <w:rPr>
          <w:sz w:val="22"/>
          <w:szCs w:val="22"/>
        </w:rPr>
        <w:t xml:space="preserve"> </w:t>
      </w:r>
      <w:r w:rsidR="001945AB" w:rsidRPr="00A66D7A">
        <w:rPr>
          <w:sz w:val="22"/>
          <w:szCs w:val="22"/>
        </w:rPr>
        <w:t xml:space="preserve"> cena</w:t>
      </w:r>
      <w:r w:rsidR="00BC4113" w:rsidRPr="00A66D7A">
        <w:rPr>
          <w:sz w:val="22"/>
          <w:szCs w:val="22"/>
        </w:rPr>
        <w:t xml:space="preserve"> </w:t>
      </w:r>
      <w:r w:rsidR="007506D4" w:rsidRPr="00A66D7A">
        <w:rPr>
          <w:sz w:val="22"/>
          <w:szCs w:val="22"/>
        </w:rPr>
        <w:t xml:space="preserve">nie podlegała </w:t>
      </w:r>
      <w:r w:rsidR="00BC4113" w:rsidRPr="00A66D7A">
        <w:rPr>
          <w:sz w:val="22"/>
          <w:szCs w:val="22"/>
        </w:rPr>
        <w:t>jakiejkolwiek obiektywne</w:t>
      </w:r>
      <w:r w:rsidR="00CA1992" w:rsidRPr="00A66D7A">
        <w:rPr>
          <w:sz w:val="22"/>
          <w:szCs w:val="22"/>
        </w:rPr>
        <w:t>j</w:t>
      </w:r>
      <w:r w:rsidR="0029676C" w:rsidRPr="00A66D7A">
        <w:rPr>
          <w:sz w:val="22"/>
          <w:szCs w:val="22"/>
        </w:rPr>
        <w:t xml:space="preserve"> weryfikacji </w:t>
      </w:r>
      <w:r w:rsidR="00BC4113" w:rsidRPr="00A66D7A">
        <w:rPr>
          <w:sz w:val="22"/>
          <w:szCs w:val="22"/>
        </w:rPr>
        <w:t xml:space="preserve">potwierdzającej </w:t>
      </w:r>
      <w:r w:rsidR="00F56EB5" w:rsidRPr="00A66D7A">
        <w:rPr>
          <w:sz w:val="22"/>
          <w:szCs w:val="22"/>
        </w:rPr>
        <w:t>rzetelność wyceny</w:t>
      </w:r>
      <w:r w:rsidR="0029676C" w:rsidRPr="00A66D7A">
        <w:rPr>
          <w:sz w:val="22"/>
          <w:szCs w:val="22"/>
        </w:rPr>
        <w:t>, tak jak przewiduje to obecnie obowiązujący przepis art. 83a ustawy o ofercie publicznej.</w:t>
      </w:r>
      <w:r w:rsidR="008A4523">
        <w:rPr>
          <w:sz w:val="22"/>
          <w:szCs w:val="22"/>
        </w:rPr>
        <w:t xml:space="preserve">  </w:t>
      </w:r>
    </w:p>
    <w:p w14:paraId="4A077849" w14:textId="26DE5C7F" w:rsidR="00287CD6" w:rsidRDefault="008A4523" w:rsidP="008C76C0">
      <w:pPr>
        <w:pStyle w:val="NormalnyWeb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Podkreślić przy tym należy, iż w ocenie wielu </w:t>
      </w:r>
      <w:r w:rsidRPr="008A4523">
        <w:rPr>
          <w:sz w:val="22"/>
          <w:szCs w:val="22"/>
        </w:rPr>
        <w:t>mniejszościowych akcjonariuszy Elektrim S.A. do wycofania akcji Elektrim</w:t>
      </w:r>
      <w:r w:rsidR="00991283">
        <w:rPr>
          <w:sz w:val="22"/>
          <w:szCs w:val="22"/>
        </w:rPr>
        <w:t xml:space="preserve"> S.A.</w:t>
      </w:r>
      <w:r w:rsidRPr="008A4523">
        <w:rPr>
          <w:sz w:val="22"/>
          <w:szCs w:val="22"/>
        </w:rPr>
        <w:t xml:space="preserve"> z obrotu giełdowego w ogóle nie powinno dojść, gdyż nie zostały spełnione warunki </w:t>
      </w:r>
      <w:r w:rsidR="00E65BB4">
        <w:rPr>
          <w:sz w:val="22"/>
          <w:szCs w:val="22"/>
        </w:rPr>
        <w:t>warunkowej</w:t>
      </w:r>
      <w:r w:rsidRPr="008A4523">
        <w:rPr>
          <w:sz w:val="22"/>
          <w:szCs w:val="22"/>
        </w:rPr>
        <w:t xml:space="preserve"> zgody na wycofanie</w:t>
      </w:r>
      <w:r w:rsidR="007C2674">
        <w:rPr>
          <w:sz w:val="22"/>
          <w:szCs w:val="22"/>
        </w:rPr>
        <w:t>,</w:t>
      </w:r>
      <w:r w:rsidRPr="008A4523">
        <w:rPr>
          <w:sz w:val="22"/>
          <w:szCs w:val="22"/>
        </w:rPr>
        <w:t xml:space="preserve"> a mianowicie po wezwaniu liczba akcji pozostających w wolnym obrocie była wyższa niż 15 proc. wszystkich akcji (</w:t>
      </w:r>
      <w:r w:rsidR="004E23A6">
        <w:rPr>
          <w:sz w:val="22"/>
          <w:szCs w:val="22"/>
        </w:rPr>
        <w:t>zob.</w:t>
      </w:r>
      <w:r w:rsidRPr="008A4523">
        <w:rPr>
          <w:sz w:val="22"/>
          <w:szCs w:val="22"/>
        </w:rPr>
        <w:t xml:space="preserve"> uchwała</w:t>
      </w:r>
      <w:r w:rsidR="007C2674">
        <w:rPr>
          <w:sz w:val="22"/>
          <w:szCs w:val="22"/>
        </w:rPr>
        <w:t xml:space="preserve"> Zarządu GPW S.A.</w:t>
      </w:r>
      <w:r w:rsidR="004020E4">
        <w:rPr>
          <w:sz w:val="22"/>
          <w:szCs w:val="22"/>
        </w:rPr>
        <w:t xml:space="preserve"> o </w:t>
      </w:r>
      <w:r w:rsidR="0057108E">
        <w:rPr>
          <w:sz w:val="22"/>
          <w:szCs w:val="22"/>
        </w:rPr>
        <w:t>warunkowej zgodzie na wykluczenie akcji Elekrim S.A, nr 871/2007</w:t>
      </w:r>
      <w:r w:rsidRPr="008A4523">
        <w:rPr>
          <w:sz w:val="22"/>
          <w:szCs w:val="22"/>
        </w:rPr>
        <w:t>).</w:t>
      </w:r>
      <w:r w:rsidR="008A72E4">
        <w:rPr>
          <w:sz w:val="22"/>
          <w:szCs w:val="22"/>
        </w:rPr>
        <w:t xml:space="preserve"> </w:t>
      </w:r>
      <w:r w:rsidR="004020E4">
        <w:rPr>
          <w:sz w:val="22"/>
          <w:szCs w:val="22"/>
        </w:rPr>
        <w:t xml:space="preserve">Przypomnieć również warto, iż </w:t>
      </w:r>
      <w:r w:rsidR="009F63F6">
        <w:rPr>
          <w:sz w:val="22"/>
          <w:szCs w:val="22"/>
        </w:rPr>
        <w:t xml:space="preserve">zarówno </w:t>
      </w:r>
      <w:r w:rsidR="004020E4">
        <w:rPr>
          <w:sz w:val="22"/>
          <w:szCs w:val="22"/>
        </w:rPr>
        <w:t xml:space="preserve">Zarząd GWP S.A, </w:t>
      </w:r>
      <w:r w:rsidR="009F63F6">
        <w:rPr>
          <w:sz w:val="22"/>
          <w:szCs w:val="22"/>
        </w:rPr>
        <w:t>jak</w:t>
      </w:r>
      <w:r w:rsidR="006C43C3">
        <w:rPr>
          <w:sz w:val="22"/>
          <w:szCs w:val="22"/>
        </w:rPr>
        <w:t xml:space="preserve"> i</w:t>
      </w:r>
      <w:r w:rsidR="004020E4">
        <w:rPr>
          <w:sz w:val="22"/>
          <w:szCs w:val="22"/>
        </w:rPr>
        <w:t xml:space="preserve"> organy nadzoru finansowego</w:t>
      </w:r>
      <w:r w:rsidR="009F63F6">
        <w:rPr>
          <w:sz w:val="22"/>
          <w:szCs w:val="22"/>
        </w:rPr>
        <w:t>,</w:t>
      </w:r>
      <w:r w:rsidR="004020E4">
        <w:rPr>
          <w:sz w:val="22"/>
          <w:szCs w:val="22"/>
        </w:rPr>
        <w:t xml:space="preserve"> nie wyegzekwowały </w:t>
      </w:r>
      <w:r w:rsidR="009F63F6">
        <w:rPr>
          <w:sz w:val="22"/>
          <w:szCs w:val="22"/>
        </w:rPr>
        <w:t xml:space="preserve">realizacji </w:t>
      </w:r>
      <w:r w:rsidR="0057108E">
        <w:rPr>
          <w:sz w:val="22"/>
          <w:szCs w:val="22"/>
        </w:rPr>
        <w:t xml:space="preserve">przywołanej wyżej uchwały. </w:t>
      </w:r>
      <w:r w:rsidR="009F63F6">
        <w:rPr>
          <w:sz w:val="22"/>
          <w:szCs w:val="22"/>
        </w:rPr>
        <w:t>Tymczasem z</w:t>
      </w:r>
      <w:r w:rsidR="0057108E">
        <w:rPr>
          <w:sz w:val="22"/>
          <w:szCs w:val="22"/>
        </w:rPr>
        <w:t xml:space="preserve">godnie z treścią uchwały </w:t>
      </w:r>
      <w:r w:rsidRPr="008A4523">
        <w:rPr>
          <w:sz w:val="22"/>
          <w:szCs w:val="22"/>
        </w:rPr>
        <w:t xml:space="preserve">Elektrim </w:t>
      </w:r>
      <w:r w:rsidR="0057108E">
        <w:rPr>
          <w:sz w:val="22"/>
          <w:szCs w:val="22"/>
        </w:rPr>
        <w:t xml:space="preserve">S.A. </w:t>
      </w:r>
      <w:r w:rsidRPr="008A4523">
        <w:rPr>
          <w:sz w:val="22"/>
          <w:szCs w:val="22"/>
        </w:rPr>
        <w:t>w terminie 6 miesięcy od dnia uprawomocnienia się wydanego przez sąd postanowienia o zakończeniu postępowania upadłościowego</w:t>
      </w:r>
      <w:r w:rsidR="005B4469">
        <w:rPr>
          <w:sz w:val="22"/>
          <w:szCs w:val="22"/>
        </w:rPr>
        <w:t xml:space="preserve"> powin</w:t>
      </w:r>
      <w:r w:rsidR="00E66244">
        <w:rPr>
          <w:sz w:val="22"/>
          <w:szCs w:val="22"/>
        </w:rPr>
        <w:t>ien</w:t>
      </w:r>
      <w:r w:rsidR="005B4469">
        <w:rPr>
          <w:sz w:val="22"/>
          <w:szCs w:val="22"/>
        </w:rPr>
        <w:t xml:space="preserve"> powrócić do notowań, co pomimo umorzenia postępowania upadłościowego </w:t>
      </w:r>
      <w:r w:rsidR="00D93A89">
        <w:rPr>
          <w:sz w:val="22"/>
          <w:szCs w:val="22"/>
        </w:rPr>
        <w:t xml:space="preserve">nigdy </w:t>
      </w:r>
      <w:r w:rsidR="005B4469">
        <w:rPr>
          <w:sz w:val="22"/>
          <w:szCs w:val="22"/>
        </w:rPr>
        <w:t>nie nastąpiło</w:t>
      </w:r>
      <w:r w:rsidRPr="008A4523">
        <w:rPr>
          <w:sz w:val="22"/>
          <w:szCs w:val="22"/>
        </w:rPr>
        <w:t xml:space="preserve">. </w:t>
      </w:r>
      <w:r w:rsidR="00722306">
        <w:rPr>
          <w:sz w:val="22"/>
          <w:szCs w:val="22"/>
        </w:rPr>
        <w:t xml:space="preserve">Znamienne przy tym jest, że </w:t>
      </w:r>
      <w:r w:rsidRPr="008A4523">
        <w:rPr>
          <w:sz w:val="22"/>
          <w:szCs w:val="22"/>
        </w:rPr>
        <w:t xml:space="preserve">Ludwik Sobolewski </w:t>
      </w:r>
      <w:r w:rsidR="00722306">
        <w:rPr>
          <w:sz w:val="22"/>
          <w:szCs w:val="22"/>
        </w:rPr>
        <w:t>po zaprzestaniu pełnienia funkcji</w:t>
      </w:r>
      <w:r w:rsidRPr="008A4523">
        <w:rPr>
          <w:sz w:val="22"/>
          <w:szCs w:val="22"/>
        </w:rPr>
        <w:t xml:space="preserve"> </w:t>
      </w:r>
      <w:r w:rsidR="00722306">
        <w:rPr>
          <w:sz w:val="22"/>
          <w:szCs w:val="22"/>
        </w:rPr>
        <w:t>p</w:t>
      </w:r>
      <w:r w:rsidRPr="008A4523">
        <w:rPr>
          <w:sz w:val="22"/>
          <w:szCs w:val="22"/>
        </w:rPr>
        <w:t>rezes</w:t>
      </w:r>
      <w:r w:rsidR="006C43C3">
        <w:rPr>
          <w:sz w:val="22"/>
          <w:szCs w:val="22"/>
        </w:rPr>
        <w:t>a</w:t>
      </w:r>
      <w:r w:rsidRPr="008A4523">
        <w:rPr>
          <w:sz w:val="22"/>
          <w:szCs w:val="22"/>
        </w:rPr>
        <w:t xml:space="preserve"> G</w:t>
      </w:r>
      <w:r w:rsidR="00722306">
        <w:rPr>
          <w:sz w:val="22"/>
          <w:szCs w:val="22"/>
        </w:rPr>
        <w:t>PW S.A.</w:t>
      </w:r>
      <w:r w:rsidRPr="008A4523">
        <w:rPr>
          <w:sz w:val="22"/>
          <w:szCs w:val="22"/>
        </w:rPr>
        <w:t xml:space="preserve"> w Warszawie, </w:t>
      </w:r>
      <w:r w:rsidR="00722306">
        <w:rPr>
          <w:sz w:val="22"/>
          <w:szCs w:val="22"/>
        </w:rPr>
        <w:t>podjął funkcję członka rady nadzorczej</w:t>
      </w:r>
      <w:r w:rsidRPr="008A4523">
        <w:rPr>
          <w:sz w:val="22"/>
          <w:szCs w:val="22"/>
        </w:rPr>
        <w:t xml:space="preserve"> ZE PAK</w:t>
      </w:r>
      <w:r w:rsidR="00722306">
        <w:rPr>
          <w:sz w:val="22"/>
          <w:szCs w:val="22"/>
        </w:rPr>
        <w:t xml:space="preserve"> S.A., tj</w:t>
      </w:r>
      <w:r w:rsidR="008C79F5">
        <w:rPr>
          <w:sz w:val="22"/>
          <w:szCs w:val="22"/>
        </w:rPr>
        <w:t>.</w:t>
      </w:r>
      <w:r w:rsidR="00722306">
        <w:rPr>
          <w:sz w:val="22"/>
          <w:szCs w:val="22"/>
        </w:rPr>
        <w:t xml:space="preserve">, </w:t>
      </w:r>
      <w:r w:rsidRPr="008A4523">
        <w:rPr>
          <w:sz w:val="22"/>
          <w:szCs w:val="22"/>
        </w:rPr>
        <w:t>spółki kontrolowanej przez Zygmunta Solorza</w:t>
      </w:r>
      <w:r w:rsidR="00722306">
        <w:rPr>
          <w:sz w:val="22"/>
          <w:szCs w:val="22"/>
        </w:rPr>
        <w:t>.</w:t>
      </w:r>
    </w:p>
    <w:p w14:paraId="44BDB584" w14:textId="503CDD6D" w:rsidR="001C7297" w:rsidRPr="00A66D7A" w:rsidRDefault="0029676C" w:rsidP="008C76C0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 xml:space="preserve"> Jak zostało to</w:t>
      </w:r>
      <w:r w:rsidR="00F56EB5" w:rsidRPr="00A66D7A">
        <w:rPr>
          <w:sz w:val="22"/>
          <w:szCs w:val="22"/>
        </w:rPr>
        <w:t xml:space="preserve"> natomiast</w:t>
      </w:r>
      <w:r w:rsidRPr="00A66D7A">
        <w:rPr>
          <w:sz w:val="22"/>
          <w:szCs w:val="22"/>
        </w:rPr>
        <w:t xml:space="preserve"> wyjaśnione w petycji z dnia 12 kwietnia 2022 r. – zaproponowana w wezwani</w:t>
      </w:r>
      <w:r w:rsidR="003D49BF" w:rsidRPr="00A66D7A">
        <w:rPr>
          <w:sz w:val="22"/>
          <w:szCs w:val="22"/>
        </w:rPr>
        <w:t>ach z ostatnich lat</w:t>
      </w:r>
      <w:r w:rsidRPr="00A66D7A">
        <w:rPr>
          <w:sz w:val="22"/>
          <w:szCs w:val="22"/>
        </w:rPr>
        <w:t xml:space="preserve"> cena</w:t>
      </w:r>
      <w:r w:rsidR="00CA1992" w:rsidRPr="00A66D7A">
        <w:rPr>
          <w:sz w:val="22"/>
          <w:szCs w:val="22"/>
        </w:rPr>
        <w:t xml:space="preserve">, tj. </w:t>
      </w:r>
      <w:r w:rsidR="00C95FAD" w:rsidRPr="00A66D7A">
        <w:rPr>
          <w:sz w:val="22"/>
          <w:szCs w:val="22"/>
        </w:rPr>
        <w:t>12,50</w:t>
      </w:r>
      <w:r w:rsidR="00CA1992" w:rsidRPr="00A66D7A">
        <w:rPr>
          <w:sz w:val="22"/>
          <w:szCs w:val="22"/>
        </w:rPr>
        <w:t xml:space="preserve"> zł</w:t>
      </w:r>
      <w:r w:rsidR="00A516E5" w:rsidRPr="00A66D7A">
        <w:rPr>
          <w:sz w:val="22"/>
          <w:szCs w:val="22"/>
        </w:rPr>
        <w:t xml:space="preserve"> za akcję w 2018 r.</w:t>
      </w:r>
      <w:r w:rsidR="00C95FAD" w:rsidRPr="00A66D7A">
        <w:rPr>
          <w:sz w:val="22"/>
          <w:szCs w:val="22"/>
        </w:rPr>
        <w:t>, 18 zł</w:t>
      </w:r>
      <w:r w:rsidR="00A516E5" w:rsidRPr="00A66D7A">
        <w:rPr>
          <w:sz w:val="22"/>
          <w:szCs w:val="22"/>
        </w:rPr>
        <w:t xml:space="preserve"> w 2020 r.</w:t>
      </w:r>
      <w:r w:rsidR="00C95FAD" w:rsidRPr="00A66D7A">
        <w:rPr>
          <w:sz w:val="22"/>
          <w:szCs w:val="22"/>
        </w:rPr>
        <w:t>, czy 19,</w:t>
      </w:r>
      <w:r w:rsidR="00B12E26" w:rsidRPr="00A66D7A">
        <w:rPr>
          <w:sz w:val="22"/>
          <w:szCs w:val="22"/>
        </w:rPr>
        <w:t>90 zł</w:t>
      </w:r>
      <w:r w:rsidR="00A516E5" w:rsidRPr="00A66D7A">
        <w:rPr>
          <w:sz w:val="22"/>
          <w:szCs w:val="22"/>
        </w:rPr>
        <w:t xml:space="preserve"> w 2022 r.</w:t>
      </w:r>
      <w:r w:rsidR="00CA1992" w:rsidRPr="00A66D7A">
        <w:rPr>
          <w:sz w:val="22"/>
          <w:szCs w:val="22"/>
        </w:rPr>
        <w:t>,</w:t>
      </w:r>
      <w:r w:rsidR="00B12E26" w:rsidRPr="00A66D7A">
        <w:rPr>
          <w:sz w:val="22"/>
          <w:szCs w:val="22"/>
        </w:rPr>
        <w:t xml:space="preserve"> </w:t>
      </w:r>
      <w:r w:rsidRPr="00A66D7A">
        <w:rPr>
          <w:sz w:val="22"/>
          <w:szCs w:val="22"/>
        </w:rPr>
        <w:t>w żaden sposób nie odpowiadał</w:t>
      </w:r>
      <w:r w:rsidR="00396A32" w:rsidRPr="00A66D7A">
        <w:rPr>
          <w:sz w:val="22"/>
          <w:szCs w:val="22"/>
        </w:rPr>
        <w:t>a</w:t>
      </w:r>
      <w:r w:rsidRPr="00A66D7A">
        <w:rPr>
          <w:sz w:val="22"/>
          <w:szCs w:val="22"/>
        </w:rPr>
        <w:t xml:space="preserve"> </w:t>
      </w:r>
      <w:r w:rsidR="00F56EB5" w:rsidRPr="00A66D7A">
        <w:rPr>
          <w:sz w:val="22"/>
          <w:szCs w:val="22"/>
        </w:rPr>
        <w:t xml:space="preserve">nie tylko </w:t>
      </w:r>
      <w:r w:rsidR="00D87D9C" w:rsidRPr="00A66D7A">
        <w:rPr>
          <w:sz w:val="22"/>
          <w:szCs w:val="22"/>
        </w:rPr>
        <w:t>wartości</w:t>
      </w:r>
      <w:r w:rsidR="00F56EB5" w:rsidRPr="00A66D7A">
        <w:rPr>
          <w:sz w:val="22"/>
          <w:szCs w:val="22"/>
        </w:rPr>
        <w:t xml:space="preserve"> rynkowej spółki, ale także</w:t>
      </w:r>
      <w:r w:rsidR="00CA1992" w:rsidRPr="00A66D7A">
        <w:rPr>
          <w:sz w:val="22"/>
          <w:szCs w:val="22"/>
        </w:rPr>
        <w:t xml:space="preserve"> jej</w:t>
      </w:r>
      <w:r w:rsidR="00F56EB5" w:rsidRPr="00A66D7A">
        <w:rPr>
          <w:sz w:val="22"/>
          <w:szCs w:val="22"/>
        </w:rPr>
        <w:t xml:space="preserve"> </w:t>
      </w:r>
      <w:r w:rsidR="00D87D9C" w:rsidRPr="00A66D7A">
        <w:rPr>
          <w:sz w:val="22"/>
          <w:szCs w:val="22"/>
        </w:rPr>
        <w:t>wartości skalkulowanej w oparciu</w:t>
      </w:r>
      <w:r w:rsidR="00F56EB5" w:rsidRPr="00A66D7A">
        <w:rPr>
          <w:sz w:val="22"/>
          <w:szCs w:val="22"/>
        </w:rPr>
        <w:t xml:space="preserve"> o uproszczoną metodę </w:t>
      </w:r>
      <w:r w:rsidR="00D87D9C" w:rsidRPr="00A66D7A">
        <w:rPr>
          <w:sz w:val="22"/>
          <w:szCs w:val="22"/>
        </w:rPr>
        <w:t>wartości aktywów netto</w:t>
      </w:r>
      <w:r w:rsidR="00CA1992" w:rsidRPr="00A66D7A">
        <w:rPr>
          <w:sz w:val="22"/>
          <w:szCs w:val="22"/>
        </w:rPr>
        <w:t xml:space="preserve"> </w:t>
      </w:r>
      <w:r w:rsidR="00B12E26" w:rsidRPr="00A66D7A">
        <w:rPr>
          <w:sz w:val="22"/>
          <w:szCs w:val="22"/>
        </w:rPr>
        <w:t>szacowanej</w:t>
      </w:r>
      <w:r w:rsidR="007B49E5" w:rsidRPr="00A66D7A">
        <w:rPr>
          <w:sz w:val="22"/>
          <w:szCs w:val="22"/>
        </w:rPr>
        <w:t xml:space="preserve"> przez akcjonariusz Porozumienia</w:t>
      </w:r>
      <w:r w:rsidR="00B12E26" w:rsidRPr="00A66D7A">
        <w:rPr>
          <w:sz w:val="22"/>
          <w:szCs w:val="22"/>
        </w:rPr>
        <w:t xml:space="preserve"> na </w:t>
      </w:r>
      <w:r w:rsidR="00CA1992" w:rsidRPr="00A66D7A">
        <w:rPr>
          <w:sz w:val="22"/>
          <w:szCs w:val="22"/>
        </w:rPr>
        <w:t xml:space="preserve">kwotę </w:t>
      </w:r>
      <w:r w:rsidR="00B12E26" w:rsidRPr="00A66D7A">
        <w:rPr>
          <w:sz w:val="22"/>
          <w:szCs w:val="22"/>
        </w:rPr>
        <w:t>co najmniej 50</w:t>
      </w:r>
      <w:r w:rsidR="00CA1992" w:rsidRPr="00A66D7A">
        <w:rPr>
          <w:sz w:val="22"/>
          <w:szCs w:val="22"/>
        </w:rPr>
        <w:t xml:space="preserve"> zł</w:t>
      </w:r>
      <w:r w:rsidR="00B12E26" w:rsidRPr="00A66D7A">
        <w:rPr>
          <w:sz w:val="22"/>
          <w:szCs w:val="22"/>
        </w:rPr>
        <w:t xml:space="preserve"> za akcję.</w:t>
      </w:r>
      <w:r w:rsidR="00A53401" w:rsidRPr="00A66D7A">
        <w:rPr>
          <w:sz w:val="22"/>
          <w:szCs w:val="22"/>
        </w:rPr>
        <w:t xml:space="preserve"> </w:t>
      </w:r>
    </w:p>
    <w:p w14:paraId="3CE963B1" w14:textId="77777777" w:rsidR="006E3E14" w:rsidRPr="00A66D7A" w:rsidRDefault="00A53401" w:rsidP="008C76C0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 xml:space="preserve">Zauważyć </w:t>
      </w:r>
      <w:r w:rsidR="001C7297" w:rsidRPr="00A66D7A">
        <w:rPr>
          <w:sz w:val="22"/>
          <w:szCs w:val="22"/>
        </w:rPr>
        <w:t xml:space="preserve">przy tym </w:t>
      </w:r>
      <w:r w:rsidRPr="00A66D7A">
        <w:rPr>
          <w:sz w:val="22"/>
          <w:szCs w:val="22"/>
        </w:rPr>
        <w:t xml:space="preserve"> należy, iż </w:t>
      </w:r>
      <w:r w:rsidR="00E670A0" w:rsidRPr="00A66D7A">
        <w:rPr>
          <w:sz w:val="22"/>
          <w:szCs w:val="22"/>
        </w:rPr>
        <w:t>zaniżona wartość oferty podyktowana była również trudną sytuacją akcjonariuszy mniejszościowych wynikając</w:t>
      </w:r>
      <w:r w:rsidR="00830F5F" w:rsidRPr="00A66D7A">
        <w:rPr>
          <w:sz w:val="22"/>
          <w:szCs w:val="22"/>
        </w:rPr>
        <w:t>ą</w:t>
      </w:r>
      <w:r w:rsidR="00E670A0" w:rsidRPr="00A66D7A">
        <w:rPr>
          <w:sz w:val="22"/>
          <w:szCs w:val="22"/>
        </w:rPr>
        <w:t xml:space="preserve"> zarówno </w:t>
      </w:r>
      <w:r w:rsidR="009C2B55" w:rsidRPr="00A66D7A">
        <w:rPr>
          <w:sz w:val="22"/>
          <w:szCs w:val="22"/>
        </w:rPr>
        <w:t xml:space="preserve">z braku </w:t>
      </w:r>
      <w:r w:rsidR="00E670A0" w:rsidRPr="00A66D7A">
        <w:rPr>
          <w:sz w:val="22"/>
          <w:szCs w:val="22"/>
        </w:rPr>
        <w:t>notowań akcji na rynku regulowanym, jak też</w:t>
      </w:r>
      <w:r w:rsidR="000079FA" w:rsidRPr="00A66D7A">
        <w:rPr>
          <w:sz w:val="22"/>
          <w:szCs w:val="22"/>
        </w:rPr>
        <w:t xml:space="preserve"> z</w:t>
      </w:r>
      <w:r w:rsidR="00E670A0" w:rsidRPr="00A66D7A">
        <w:rPr>
          <w:sz w:val="22"/>
          <w:szCs w:val="22"/>
        </w:rPr>
        <w:t xml:space="preserve"> potencjaln</w:t>
      </w:r>
      <w:r w:rsidR="000079FA" w:rsidRPr="00A66D7A">
        <w:rPr>
          <w:sz w:val="22"/>
          <w:szCs w:val="22"/>
        </w:rPr>
        <w:t>ego</w:t>
      </w:r>
      <w:r w:rsidR="00E670A0" w:rsidRPr="00A66D7A">
        <w:rPr>
          <w:sz w:val="22"/>
          <w:szCs w:val="22"/>
        </w:rPr>
        <w:t xml:space="preserve"> brak</w:t>
      </w:r>
      <w:r w:rsidR="00AA14AE" w:rsidRPr="00A66D7A">
        <w:rPr>
          <w:sz w:val="22"/>
          <w:szCs w:val="22"/>
        </w:rPr>
        <w:t>u</w:t>
      </w:r>
      <w:r w:rsidR="00E670A0" w:rsidRPr="00A66D7A">
        <w:rPr>
          <w:sz w:val="22"/>
          <w:szCs w:val="22"/>
        </w:rPr>
        <w:t xml:space="preserve"> zainteresowania</w:t>
      </w:r>
      <w:r w:rsidR="00C14EF1" w:rsidRPr="00A66D7A">
        <w:rPr>
          <w:sz w:val="22"/>
          <w:szCs w:val="22"/>
        </w:rPr>
        <w:t xml:space="preserve"> potencjalnych </w:t>
      </w:r>
      <w:r w:rsidR="00E670A0" w:rsidRPr="00A66D7A">
        <w:rPr>
          <w:sz w:val="22"/>
          <w:szCs w:val="22"/>
        </w:rPr>
        <w:t xml:space="preserve"> naby</w:t>
      </w:r>
      <w:r w:rsidR="00C14EF1" w:rsidRPr="00A66D7A">
        <w:rPr>
          <w:sz w:val="22"/>
          <w:szCs w:val="22"/>
        </w:rPr>
        <w:t>wców</w:t>
      </w:r>
      <w:r w:rsidR="00E670A0" w:rsidRPr="00A66D7A">
        <w:rPr>
          <w:sz w:val="22"/>
          <w:szCs w:val="22"/>
        </w:rPr>
        <w:t xml:space="preserve"> </w:t>
      </w:r>
      <w:r w:rsidR="00C14EF1" w:rsidRPr="00A66D7A">
        <w:rPr>
          <w:sz w:val="22"/>
          <w:szCs w:val="22"/>
        </w:rPr>
        <w:t xml:space="preserve">w odniesienie </w:t>
      </w:r>
      <w:r w:rsidR="00E670A0" w:rsidRPr="00A66D7A">
        <w:rPr>
          <w:sz w:val="22"/>
          <w:szCs w:val="22"/>
        </w:rPr>
        <w:t>niewielkiego pakietu akcji spółki</w:t>
      </w:r>
      <w:r w:rsidR="009D610C" w:rsidRPr="00A66D7A">
        <w:rPr>
          <w:sz w:val="22"/>
          <w:szCs w:val="22"/>
        </w:rPr>
        <w:t>, w której uprawnienia akcjonariuszy mniejszościowych nie były</w:t>
      </w:r>
      <w:r w:rsidR="00A875B3" w:rsidRPr="00A66D7A">
        <w:rPr>
          <w:sz w:val="22"/>
          <w:szCs w:val="22"/>
        </w:rPr>
        <w:t xml:space="preserve"> w przeszłości</w:t>
      </w:r>
      <w:r w:rsidR="009D610C" w:rsidRPr="00A66D7A">
        <w:rPr>
          <w:sz w:val="22"/>
          <w:szCs w:val="22"/>
        </w:rPr>
        <w:t xml:space="preserve"> należycie respektowane.</w:t>
      </w:r>
    </w:p>
    <w:p w14:paraId="60A255DD" w14:textId="77777777" w:rsidR="003B2D98" w:rsidRPr="00A66D7A" w:rsidRDefault="006E3E14" w:rsidP="008C76C0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>Nie sposób przy tym pominąć, iż</w:t>
      </w:r>
      <w:r w:rsidR="0078561A" w:rsidRPr="00A66D7A">
        <w:rPr>
          <w:sz w:val="22"/>
          <w:szCs w:val="22"/>
        </w:rPr>
        <w:t xml:space="preserve"> wezwania do składania ofert przedłożone </w:t>
      </w:r>
      <w:r w:rsidR="00AC735E" w:rsidRPr="00A66D7A">
        <w:rPr>
          <w:sz w:val="22"/>
          <w:szCs w:val="22"/>
        </w:rPr>
        <w:t xml:space="preserve">w ostatnich latach </w:t>
      </w:r>
      <w:r w:rsidR="0078561A" w:rsidRPr="00A66D7A">
        <w:rPr>
          <w:sz w:val="22"/>
          <w:szCs w:val="22"/>
        </w:rPr>
        <w:t xml:space="preserve">przez podmioty powiązane z głównym akcjonariuszem – nie </w:t>
      </w:r>
      <w:r w:rsidR="00964ADC" w:rsidRPr="00A66D7A">
        <w:rPr>
          <w:sz w:val="22"/>
          <w:szCs w:val="22"/>
        </w:rPr>
        <w:t>obejmowały</w:t>
      </w:r>
      <w:r w:rsidR="0078561A" w:rsidRPr="00A66D7A">
        <w:rPr>
          <w:sz w:val="22"/>
          <w:szCs w:val="22"/>
        </w:rPr>
        <w:t xml:space="preserve"> ceny ustalonej w oparciu o jakiekolwiek zobiektywizowane kryteria, a </w:t>
      </w:r>
      <w:r w:rsidR="00964ADC" w:rsidRPr="00A66D7A">
        <w:rPr>
          <w:sz w:val="22"/>
          <w:szCs w:val="22"/>
        </w:rPr>
        <w:t>stanowiły jedynie zaproszenie</w:t>
      </w:r>
      <w:r w:rsidR="00117F06" w:rsidRPr="00A66D7A">
        <w:rPr>
          <w:sz w:val="22"/>
          <w:szCs w:val="22"/>
        </w:rPr>
        <w:t xml:space="preserve"> do sprzedaży akcji po cenie dowoln</w:t>
      </w:r>
      <w:r w:rsidR="00BD630A" w:rsidRPr="00A66D7A">
        <w:rPr>
          <w:sz w:val="22"/>
          <w:szCs w:val="22"/>
        </w:rPr>
        <w:t>i</w:t>
      </w:r>
      <w:r w:rsidR="00117F06" w:rsidRPr="00A66D7A">
        <w:rPr>
          <w:sz w:val="22"/>
          <w:szCs w:val="22"/>
        </w:rPr>
        <w:t xml:space="preserve">e ustalonej przez podmioty powiązane z głównym akcjonariuszem. W ocenie zdecydowanej większości akcjonariuszy Porozumienia </w:t>
      </w:r>
      <w:r w:rsidR="002679BF" w:rsidRPr="00A66D7A">
        <w:rPr>
          <w:sz w:val="22"/>
          <w:szCs w:val="22"/>
        </w:rPr>
        <w:t xml:space="preserve">zaproponowana </w:t>
      </w:r>
      <w:r w:rsidR="00117F06" w:rsidRPr="00A66D7A">
        <w:rPr>
          <w:sz w:val="22"/>
          <w:szCs w:val="22"/>
        </w:rPr>
        <w:t>cena nie odpowiadała rzeczywistej wartości spółki,</w:t>
      </w:r>
      <w:r w:rsidR="00E9519C" w:rsidRPr="00A66D7A">
        <w:rPr>
          <w:sz w:val="22"/>
          <w:szCs w:val="22"/>
        </w:rPr>
        <w:t xml:space="preserve"> czy nawet jej wartości bilansowej</w:t>
      </w:r>
      <w:r w:rsidR="00941B57" w:rsidRPr="00A66D7A">
        <w:rPr>
          <w:sz w:val="22"/>
          <w:szCs w:val="22"/>
        </w:rPr>
        <w:t>.</w:t>
      </w:r>
      <w:r w:rsidR="00117F06" w:rsidRPr="00A66D7A">
        <w:rPr>
          <w:sz w:val="22"/>
          <w:szCs w:val="22"/>
        </w:rPr>
        <w:t xml:space="preserve"> </w:t>
      </w:r>
      <w:r w:rsidR="00941B57" w:rsidRPr="00A66D7A">
        <w:rPr>
          <w:sz w:val="22"/>
          <w:szCs w:val="22"/>
        </w:rPr>
        <w:t>S</w:t>
      </w:r>
      <w:r w:rsidR="00AD48AB" w:rsidRPr="00A66D7A">
        <w:rPr>
          <w:sz w:val="22"/>
          <w:szCs w:val="22"/>
        </w:rPr>
        <w:t xml:space="preserve">tąd odpowiedź na tego rodzaju zaproszenia miała niewielki </w:t>
      </w:r>
      <w:r w:rsidR="00941B57" w:rsidRPr="00A66D7A">
        <w:rPr>
          <w:sz w:val="22"/>
          <w:szCs w:val="22"/>
        </w:rPr>
        <w:t>zasięg</w:t>
      </w:r>
      <w:r w:rsidR="00AD48AB" w:rsidRPr="00A66D7A">
        <w:rPr>
          <w:sz w:val="22"/>
          <w:szCs w:val="22"/>
        </w:rPr>
        <w:t xml:space="preserve"> ograniczony przede wszystkim do akcjonariuszy</w:t>
      </w:r>
      <w:r w:rsidR="00941B57" w:rsidRPr="00A66D7A">
        <w:rPr>
          <w:sz w:val="22"/>
          <w:szCs w:val="22"/>
        </w:rPr>
        <w:t xml:space="preserve"> pozostaj</w:t>
      </w:r>
      <w:r w:rsidR="0003638B" w:rsidRPr="00A66D7A">
        <w:rPr>
          <w:sz w:val="22"/>
          <w:szCs w:val="22"/>
        </w:rPr>
        <w:t>ą</w:t>
      </w:r>
      <w:r w:rsidR="00941B57" w:rsidRPr="00A66D7A">
        <w:rPr>
          <w:sz w:val="22"/>
          <w:szCs w:val="22"/>
        </w:rPr>
        <w:t>cej</w:t>
      </w:r>
      <w:r w:rsidR="00AD48AB" w:rsidRPr="00A66D7A">
        <w:rPr>
          <w:sz w:val="22"/>
          <w:szCs w:val="22"/>
        </w:rPr>
        <w:t xml:space="preserve"> w bardzo trudnej sytuacji majątkowej. </w:t>
      </w:r>
      <w:r w:rsidR="00094A44" w:rsidRPr="00A66D7A">
        <w:rPr>
          <w:sz w:val="22"/>
          <w:szCs w:val="22"/>
        </w:rPr>
        <w:t>Powszechny był przy tym pogląd, iż celem ostatnich zaproszeń była przede wszystkim próba zmniejszenia stanu osobowego Porozumienia poniżej 5%</w:t>
      </w:r>
      <w:r w:rsidR="00783784" w:rsidRPr="00A66D7A">
        <w:rPr>
          <w:sz w:val="22"/>
          <w:szCs w:val="22"/>
        </w:rPr>
        <w:t>, co ograniczyłoby możliwości działania Porozumienia.</w:t>
      </w:r>
    </w:p>
    <w:p w14:paraId="4EC4F3F3" w14:textId="694787A6" w:rsidR="00024B54" w:rsidRPr="00A66D7A" w:rsidRDefault="004F59C7" w:rsidP="00024B54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>W związku z powyższym uznać należy, iż dotychczasowe wezwania czy z</w:t>
      </w:r>
      <w:r w:rsidR="00AD48AB" w:rsidRPr="00A66D7A">
        <w:rPr>
          <w:sz w:val="22"/>
          <w:szCs w:val="22"/>
        </w:rPr>
        <w:t>aproszenia w żaden sposób nie mogą</w:t>
      </w:r>
      <w:r w:rsidR="00D12FD3" w:rsidRPr="00A66D7A">
        <w:rPr>
          <w:sz w:val="22"/>
          <w:szCs w:val="22"/>
        </w:rPr>
        <w:t xml:space="preserve"> </w:t>
      </w:r>
      <w:r w:rsidR="00AD48AB" w:rsidRPr="00A66D7A">
        <w:rPr>
          <w:sz w:val="22"/>
          <w:szCs w:val="22"/>
        </w:rPr>
        <w:t xml:space="preserve">przesądzać o braku </w:t>
      </w:r>
      <w:r w:rsidR="00BC5D13" w:rsidRPr="00A66D7A">
        <w:rPr>
          <w:sz w:val="22"/>
          <w:szCs w:val="22"/>
        </w:rPr>
        <w:t>zasadności</w:t>
      </w:r>
      <w:r w:rsidR="00AD48AB" w:rsidRPr="00A66D7A">
        <w:rPr>
          <w:sz w:val="22"/>
          <w:szCs w:val="22"/>
        </w:rPr>
        <w:t xml:space="preserve"> ustaw</w:t>
      </w:r>
      <w:r w:rsidR="00BD630A" w:rsidRPr="00A66D7A">
        <w:rPr>
          <w:sz w:val="22"/>
          <w:szCs w:val="22"/>
        </w:rPr>
        <w:t xml:space="preserve">owego uregulowania sytuacji </w:t>
      </w:r>
      <w:r w:rsidR="00AD48AB" w:rsidRPr="00A66D7A">
        <w:rPr>
          <w:sz w:val="22"/>
          <w:szCs w:val="22"/>
        </w:rPr>
        <w:t>byłych akcjonariuszy spółek giełdowych</w:t>
      </w:r>
      <w:r w:rsidR="00320C94" w:rsidRPr="00A66D7A">
        <w:rPr>
          <w:sz w:val="22"/>
          <w:szCs w:val="22"/>
        </w:rPr>
        <w:t xml:space="preserve">, którzy z przyczyn od siebie niezależnych nie mieli możliwości wystąpienia ze </w:t>
      </w:r>
      <w:r w:rsidR="00FB16A5" w:rsidRPr="00A66D7A">
        <w:rPr>
          <w:sz w:val="22"/>
          <w:szCs w:val="22"/>
        </w:rPr>
        <w:t>spółki</w:t>
      </w:r>
      <w:r w:rsidR="00D12FD3" w:rsidRPr="00A66D7A">
        <w:rPr>
          <w:sz w:val="22"/>
          <w:szCs w:val="22"/>
        </w:rPr>
        <w:t xml:space="preserve">. Uwarunkowania faktyczne i prawne uzasadniają bowiem wprowadzenie do krajowego porządku prawnego regulacji, które </w:t>
      </w:r>
      <w:r w:rsidR="00A860F0" w:rsidRPr="00A66D7A">
        <w:rPr>
          <w:sz w:val="22"/>
          <w:szCs w:val="22"/>
        </w:rPr>
        <w:t xml:space="preserve">zapewnią akcjonariuszom mniejszościowym tego rodzaju spółek możliwość sformułowania roszczenia nakładającego na </w:t>
      </w:r>
      <w:r w:rsidR="002530DF" w:rsidRPr="00A66D7A">
        <w:rPr>
          <w:sz w:val="22"/>
          <w:szCs w:val="22"/>
        </w:rPr>
        <w:t>głównego</w:t>
      </w:r>
      <w:r w:rsidR="0029127D" w:rsidRPr="00A66D7A">
        <w:rPr>
          <w:sz w:val="22"/>
          <w:szCs w:val="22"/>
        </w:rPr>
        <w:t xml:space="preserve"> akcjonariusza lub samą spółkę</w:t>
      </w:r>
      <w:r w:rsidR="002530DF" w:rsidRPr="00A66D7A">
        <w:rPr>
          <w:sz w:val="22"/>
          <w:szCs w:val="22"/>
        </w:rPr>
        <w:t xml:space="preserve"> </w:t>
      </w:r>
      <w:r w:rsidR="0029099C" w:rsidRPr="00A66D7A">
        <w:rPr>
          <w:sz w:val="22"/>
          <w:szCs w:val="22"/>
        </w:rPr>
        <w:t>obowiązek odkupienia akcji spółki w oparciu o zobiektywizowane i weryfikowalne kryteri</w:t>
      </w:r>
      <w:r w:rsidR="00242EEB">
        <w:rPr>
          <w:sz w:val="22"/>
          <w:szCs w:val="22"/>
        </w:rPr>
        <w:t>a</w:t>
      </w:r>
      <w:r w:rsidR="00EE2B8A" w:rsidRPr="00A66D7A">
        <w:rPr>
          <w:sz w:val="22"/>
          <w:szCs w:val="22"/>
        </w:rPr>
        <w:t>.</w:t>
      </w:r>
    </w:p>
    <w:p w14:paraId="74CF83FF" w14:textId="77777777" w:rsidR="00976046" w:rsidRPr="00A66D7A" w:rsidRDefault="00024B54" w:rsidP="00024B54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 xml:space="preserve">Z uwagi na całokształt wyżej przedstawionych kwestii </w:t>
      </w:r>
      <w:r w:rsidR="00BC7AD8" w:rsidRPr="00A66D7A">
        <w:rPr>
          <w:sz w:val="22"/>
          <w:szCs w:val="22"/>
        </w:rPr>
        <w:t xml:space="preserve">- </w:t>
      </w:r>
      <w:r w:rsidRPr="00A66D7A">
        <w:rPr>
          <w:sz w:val="22"/>
          <w:szCs w:val="22"/>
        </w:rPr>
        <w:t xml:space="preserve">zwracam się </w:t>
      </w:r>
      <w:r w:rsidR="00691B69" w:rsidRPr="00A66D7A">
        <w:rPr>
          <w:sz w:val="22"/>
          <w:szCs w:val="22"/>
        </w:rPr>
        <w:t xml:space="preserve">zatem </w:t>
      </w:r>
      <w:r w:rsidRPr="00A66D7A">
        <w:rPr>
          <w:sz w:val="22"/>
          <w:szCs w:val="22"/>
        </w:rPr>
        <w:t xml:space="preserve">do </w:t>
      </w:r>
      <w:r w:rsidR="008B3D4D" w:rsidRPr="00A66D7A">
        <w:rPr>
          <w:sz w:val="22"/>
          <w:szCs w:val="22"/>
        </w:rPr>
        <w:t xml:space="preserve">Państwa </w:t>
      </w:r>
      <w:r w:rsidRPr="00A66D7A">
        <w:rPr>
          <w:sz w:val="22"/>
          <w:szCs w:val="22"/>
        </w:rPr>
        <w:t>z uprzejmą prośbą o rozważenie konieczności podjęcia odpowiednich działań legislacyjnych</w:t>
      </w:r>
      <w:r w:rsidR="008B3D4D" w:rsidRPr="00A66D7A">
        <w:rPr>
          <w:sz w:val="22"/>
          <w:szCs w:val="22"/>
        </w:rPr>
        <w:t xml:space="preserve"> </w:t>
      </w:r>
      <w:r w:rsidRPr="00A66D7A">
        <w:rPr>
          <w:sz w:val="22"/>
          <w:szCs w:val="22"/>
        </w:rPr>
        <w:t>mających na celu pełniejsze urzeczywistnienie równej ochrony praw majątkowych</w:t>
      </w:r>
      <w:r w:rsidR="008B3D4D" w:rsidRPr="00A66D7A">
        <w:rPr>
          <w:sz w:val="22"/>
          <w:szCs w:val="22"/>
        </w:rPr>
        <w:t xml:space="preserve"> akcjonariuszy mniejszościowych byłych spółek giełdowych,</w:t>
      </w:r>
      <w:r w:rsidR="00691B69" w:rsidRPr="00A66D7A">
        <w:rPr>
          <w:sz w:val="22"/>
          <w:szCs w:val="22"/>
        </w:rPr>
        <w:t xml:space="preserve"> </w:t>
      </w:r>
      <w:r w:rsidR="008B3D4D" w:rsidRPr="00A66D7A">
        <w:rPr>
          <w:sz w:val="22"/>
          <w:szCs w:val="22"/>
        </w:rPr>
        <w:t>w tym w szc</w:t>
      </w:r>
      <w:r w:rsidR="00471F5C" w:rsidRPr="00A66D7A">
        <w:rPr>
          <w:sz w:val="22"/>
          <w:szCs w:val="22"/>
        </w:rPr>
        <w:t xml:space="preserve">zególności </w:t>
      </w:r>
      <w:r w:rsidR="00691B69" w:rsidRPr="00A66D7A">
        <w:rPr>
          <w:sz w:val="22"/>
          <w:szCs w:val="22"/>
        </w:rPr>
        <w:t xml:space="preserve">poprzez </w:t>
      </w:r>
      <w:r w:rsidR="00471F5C" w:rsidRPr="00A66D7A">
        <w:rPr>
          <w:sz w:val="22"/>
          <w:szCs w:val="22"/>
        </w:rPr>
        <w:t>rozwiązanie tego problemu przy okazji obecnie prowadzonych prac legislacyjnych.</w:t>
      </w:r>
      <w:r w:rsidR="00810375" w:rsidRPr="00A66D7A">
        <w:rPr>
          <w:sz w:val="22"/>
          <w:szCs w:val="22"/>
        </w:rPr>
        <w:t xml:space="preserve"> </w:t>
      </w:r>
    </w:p>
    <w:p w14:paraId="5807BBDB" w14:textId="41B3A635" w:rsidR="00BA7066" w:rsidRPr="00A66D7A" w:rsidRDefault="00810375" w:rsidP="00024B54">
      <w:pPr>
        <w:pStyle w:val="NormalnyWeb"/>
        <w:spacing w:line="276" w:lineRule="auto"/>
        <w:jc w:val="both"/>
        <w:rPr>
          <w:sz w:val="22"/>
          <w:szCs w:val="22"/>
        </w:rPr>
      </w:pPr>
      <w:r w:rsidRPr="00A66D7A">
        <w:rPr>
          <w:sz w:val="22"/>
          <w:szCs w:val="22"/>
        </w:rPr>
        <w:t xml:space="preserve">Jednocześnie proszę również o zobowiązanie Urzędu Komisji Nadzoru Finansowego </w:t>
      </w:r>
      <w:r w:rsidR="00BC5A42">
        <w:rPr>
          <w:sz w:val="22"/>
          <w:szCs w:val="22"/>
        </w:rPr>
        <w:t xml:space="preserve">do </w:t>
      </w:r>
      <w:r w:rsidR="009538F7">
        <w:rPr>
          <w:sz w:val="22"/>
          <w:szCs w:val="22"/>
        </w:rPr>
        <w:t>ustosunkowania się do</w:t>
      </w:r>
      <w:r w:rsidR="00BC5A42">
        <w:rPr>
          <w:sz w:val="22"/>
          <w:szCs w:val="22"/>
        </w:rPr>
        <w:t xml:space="preserve"> argumentów</w:t>
      </w:r>
      <w:r w:rsidR="009538F7">
        <w:rPr>
          <w:sz w:val="22"/>
          <w:szCs w:val="22"/>
        </w:rPr>
        <w:t>, propozycji</w:t>
      </w:r>
      <w:r w:rsidR="00BC5A42">
        <w:rPr>
          <w:sz w:val="22"/>
          <w:szCs w:val="22"/>
        </w:rPr>
        <w:t xml:space="preserve"> i postulatów zawartych w niniejszym piśmie</w:t>
      </w:r>
      <w:r w:rsidR="00C43E41">
        <w:rPr>
          <w:sz w:val="22"/>
          <w:szCs w:val="22"/>
        </w:rPr>
        <w:t xml:space="preserve"> </w:t>
      </w:r>
      <w:r w:rsidR="00FD3527">
        <w:rPr>
          <w:sz w:val="22"/>
          <w:szCs w:val="22"/>
        </w:rPr>
        <w:t>stanowią</w:t>
      </w:r>
      <w:r w:rsidR="00C43E41">
        <w:rPr>
          <w:sz w:val="22"/>
          <w:szCs w:val="22"/>
        </w:rPr>
        <w:t>cym</w:t>
      </w:r>
      <w:r w:rsidR="00FD3527">
        <w:rPr>
          <w:sz w:val="22"/>
          <w:szCs w:val="22"/>
        </w:rPr>
        <w:t xml:space="preserve"> odpowiedź </w:t>
      </w:r>
      <w:r w:rsidR="00C43E41">
        <w:rPr>
          <w:sz w:val="22"/>
          <w:szCs w:val="22"/>
        </w:rPr>
        <w:t>wobec</w:t>
      </w:r>
      <w:r w:rsidR="00FD3527">
        <w:rPr>
          <w:sz w:val="22"/>
          <w:szCs w:val="22"/>
        </w:rPr>
        <w:t xml:space="preserve"> stanowisk</w:t>
      </w:r>
      <w:r w:rsidR="00C43E41">
        <w:rPr>
          <w:sz w:val="22"/>
          <w:szCs w:val="22"/>
        </w:rPr>
        <w:t>a</w:t>
      </w:r>
      <w:r w:rsidR="00FD3527">
        <w:rPr>
          <w:sz w:val="22"/>
          <w:szCs w:val="22"/>
        </w:rPr>
        <w:t xml:space="preserve"> UKNF zaprezentowanego w piśmie z dnia 31 maja 2022 r.</w:t>
      </w:r>
    </w:p>
    <w:p w14:paraId="3BBEA1E4" w14:textId="77777777" w:rsidR="00691B69" w:rsidRPr="00A66D7A" w:rsidRDefault="00691B69" w:rsidP="00024B54">
      <w:pPr>
        <w:pStyle w:val="NormalnyWeb"/>
        <w:spacing w:line="276" w:lineRule="auto"/>
        <w:jc w:val="both"/>
        <w:rPr>
          <w:sz w:val="22"/>
          <w:szCs w:val="22"/>
        </w:rPr>
      </w:pPr>
    </w:p>
    <w:p w14:paraId="1B557FCC" w14:textId="77777777" w:rsidR="00C539B1" w:rsidRPr="00A66D7A" w:rsidRDefault="00C539B1" w:rsidP="003B47EB">
      <w:pPr>
        <w:pStyle w:val="NormalnyWeb"/>
        <w:spacing w:line="276" w:lineRule="auto"/>
        <w:ind w:left="3540" w:firstLine="708"/>
        <w:jc w:val="both"/>
        <w:rPr>
          <w:i/>
          <w:iCs/>
          <w:sz w:val="22"/>
          <w:szCs w:val="22"/>
        </w:rPr>
      </w:pPr>
      <w:r w:rsidRPr="00A66D7A">
        <w:rPr>
          <w:i/>
          <w:iCs/>
          <w:sz w:val="22"/>
          <w:szCs w:val="22"/>
        </w:rPr>
        <w:t>Jakub Ciborowski – podpisano profilem zaufanym</w:t>
      </w:r>
    </w:p>
    <w:p w14:paraId="3A147207" w14:textId="77777777" w:rsidR="00302725" w:rsidRDefault="00302725" w:rsidP="003B47EB">
      <w:pPr>
        <w:pStyle w:val="NormalnyWeb"/>
        <w:spacing w:line="276" w:lineRule="auto"/>
        <w:jc w:val="both"/>
        <w:rPr>
          <w:i/>
          <w:iCs/>
          <w:sz w:val="22"/>
          <w:szCs w:val="22"/>
        </w:rPr>
      </w:pPr>
    </w:p>
    <w:p w14:paraId="6E94777C" w14:textId="77777777" w:rsidR="00FD27A9" w:rsidRPr="00A66D7A" w:rsidRDefault="00FD27A9" w:rsidP="003B47EB">
      <w:pPr>
        <w:pStyle w:val="NormalnyWeb"/>
        <w:spacing w:line="276" w:lineRule="auto"/>
        <w:jc w:val="both"/>
        <w:rPr>
          <w:i/>
          <w:iCs/>
          <w:sz w:val="22"/>
          <w:szCs w:val="22"/>
        </w:rPr>
      </w:pPr>
    </w:p>
    <w:p w14:paraId="3D6743DF" w14:textId="06515FAF" w:rsidR="006E5E80" w:rsidRPr="00DD1C6B" w:rsidRDefault="00DD1C6B" w:rsidP="003B47EB">
      <w:pPr>
        <w:pStyle w:val="NormalnyWeb"/>
        <w:spacing w:line="276" w:lineRule="auto"/>
        <w:jc w:val="both"/>
        <w:rPr>
          <w:i/>
          <w:iCs/>
          <w:sz w:val="22"/>
          <w:szCs w:val="22"/>
          <w:u w:val="single"/>
        </w:rPr>
      </w:pPr>
      <w:r w:rsidRPr="00DD1C6B">
        <w:rPr>
          <w:i/>
          <w:iCs/>
          <w:sz w:val="22"/>
          <w:szCs w:val="22"/>
          <w:u w:val="single"/>
        </w:rPr>
        <w:t>Załączniki:</w:t>
      </w:r>
    </w:p>
    <w:p w14:paraId="29421614" w14:textId="4A75D9B3" w:rsidR="00DD1C6B" w:rsidRDefault="00DD1C6B" w:rsidP="00DD1C6B">
      <w:pPr>
        <w:pStyle w:val="NormalnyWeb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Lista KDPW wg stanu na 15 stycznia 2022 r.</w:t>
      </w:r>
    </w:p>
    <w:p w14:paraId="5A065C6E" w14:textId="77777777" w:rsidR="00FD27A9" w:rsidRPr="00DD1C6B" w:rsidRDefault="00FD27A9" w:rsidP="00FD27A9">
      <w:pPr>
        <w:pStyle w:val="NormalnyWeb"/>
        <w:spacing w:line="276" w:lineRule="auto"/>
        <w:ind w:left="720"/>
        <w:jc w:val="both"/>
        <w:rPr>
          <w:sz w:val="22"/>
          <w:szCs w:val="22"/>
        </w:rPr>
      </w:pPr>
    </w:p>
    <w:p w14:paraId="3DA386DF" w14:textId="77777777" w:rsidR="00302725" w:rsidRPr="00A66D7A" w:rsidRDefault="00E97123" w:rsidP="003B47EB">
      <w:pPr>
        <w:spacing w:line="276" w:lineRule="auto"/>
        <w:rPr>
          <w:sz w:val="22"/>
          <w:szCs w:val="22"/>
          <w:u w:val="single"/>
        </w:rPr>
      </w:pPr>
      <w:r w:rsidRPr="00A66D7A">
        <w:rPr>
          <w:sz w:val="22"/>
          <w:szCs w:val="22"/>
          <w:u w:val="single"/>
        </w:rPr>
        <w:t>D</w:t>
      </w:r>
      <w:r w:rsidR="00302725" w:rsidRPr="00A66D7A">
        <w:rPr>
          <w:sz w:val="22"/>
          <w:szCs w:val="22"/>
          <w:u w:val="single"/>
        </w:rPr>
        <w:t>o wiadomości</w:t>
      </w:r>
      <w:r w:rsidRPr="00A66D7A">
        <w:rPr>
          <w:sz w:val="22"/>
          <w:szCs w:val="22"/>
          <w:u w:val="single"/>
        </w:rPr>
        <w:t>:</w:t>
      </w:r>
    </w:p>
    <w:p w14:paraId="4579F014" w14:textId="77777777" w:rsidR="00302725" w:rsidRPr="00A66D7A" w:rsidRDefault="001E0789" w:rsidP="001E0789">
      <w:pPr>
        <w:pStyle w:val="NormalnyWeb"/>
        <w:spacing w:line="276" w:lineRule="auto"/>
        <w:rPr>
          <w:i/>
          <w:iCs/>
          <w:sz w:val="22"/>
          <w:szCs w:val="22"/>
        </w:rPr>
      </w:pPr>
      <w:r w:rsidRPr="00A66D7A">
        <w:rPr>
          <w:i/>
          <w:iCs/>
          <w:sz w:val="22"/>
          <w:szCs w:val="22"/>
        </w:rPr>
        <w:t>Agata Tupaj-Cholewa</w:t>
      </w:r>
      <w:r w:rsidRPr="00A66D7A">
        <w:rPr>
          <w:i/>
          <w:iCs/>
          <w:sz w:val="22"/>
          <w:szCs w:val="22"/>
        </w:rPr>
        <w:br/>
        <w:t xml:space="preserve">Dyrektor Departamentu Prawnego </w:t>
      </w:r>
      <w:r w:rsidRPr="00A66D7A">
        <w:rPr>
          <w:i/>
          <w:iCs/>
          <w:sz w:val="22"/>
          <w:szCs w:val="22"/>
        </w:rPr>
        <w:br/>
        <w:t>Urząd Komisji Nadzoru Finansowego</w:t>
      </w:r>
      <w:r w:rsidRPr="00A66D7A">
        <w:rPr>
          <w:i/>
          <w:iCs/>
          <w:sz w:val="22"/>
          <w:szCs w:val="22"/>
        </w:rPr>
        <w:br/>
        <w:t xml:space="preserve">ul. Piękna 20, skr. poczt. 419 </w:t>
      </w:r>
      <w:r w:rsidRPr="00A66D7A">
        <w:rPr>
          <w:i/>
          <w:iCs/>
          <w:sz w:val="22"/>
          <w:szCs w:val="22"/>
        </w:rPr>
        <w:br/>
        <w:t>00-549 Warszawa</w:t>
      </w:r>
    </w:p>
    <w:sectPr w:rsidR="00302725" w:rsidRPr="00A66D7A" w:rsidSect="00FA08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4931E" w14:textId="77777777" w:rsidR="00AE4B70" w:rsidRDefault="00AE4B70" w:rsidP="008A1FAA">
      <w:r>
        <w:separator/>
      </w:r>
    </w:p>
  </w:endnote>
  <w:endnote w:type="continuationSeparator" w:id="0">
    <w:p w14:paraId="578DBE47" w14:textId="77777777" w:rsidR="00AE4B70" w:rsidRDefault="00AE4B70" w:rsidP="008A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9CE79" w14:textId="77777777" w:rsidR="00597FC3" w:rsidRPr="004D3451" w:rsidRDefault="00021886" w:rsidP="008B0B32">
    <w:pPr>
      <w:pBdr>
        <w:top w:val="single" w:sz="4" w:space="1" w:color="auto"/>
      </w:pBdr>
      <w:jc w:val="center"/>
      <w:rPr>
        <w:sz w:val="18"/>
        <w:szCs w:val="18"/>
      </w:rPr>
    </w:pPr>
    <w:r w:rsidRPr="004D3451">
      <w:rPr>
        <w:sz w:val="18"/>
        <w:szCs w:val="18"/>
      </w:rPr>
      <w:t xml:space="preserve">Strona </w:t>
    </w:r>
    <w:r w:rsidR="00A916B2" w:rsidRPr="004D3451">
      <w:rPr>
        <w:sz w:val="18"/>
        <w:szCs w:val="18"/>
      </w:rPr>
      <w:fldChar w:fldCharType="begin"/>
    </w:r>
    <w:r w:rsidRPr="004D3451">
      <w:rPr>
        <w:sz w:val="18"/>
        <w:szCs w:val="18"/>
      </w:rPr>
      <w:instrText xml:space="preserve"> PAGE </w:instrText>
    </w:r>
    <w:r w:rsidR="00A916B2" w:rsidRPr="004D3451">
      <w:rPr>
        <w:sz w:val="18"/>
        <w:szCs w:val="18"/>
      </w:rPr>
      <w:fldChar w:fldCharType="separate"/>
    </w:r>
    <w:r w:rsidR="00242EEB">
      <w:rPr>
        <w:noProof/>
        <w:sz w:val="18"/>
        <w:szCs w:val="18"/>
      </w:rPr>
      <w:t>7</w:t>
    </w:r>
    <w:r w:rsidR="00A916B2" w:rsidRPr="004D3451">
      <w:rPr>
        <w:sz w:val="18"/>
        <w:szCs w:val="18"/>
      </w:rPr>
      <w:fldChar w:fldCharType="end"/>
    </w:r>
    <w:r w:rsidRPr="004D3451">
      <w:rPr>
        <w:sz w:val="18"/>
        <w:szCs w:val="18"/>
      </w:rPr>
      <w:t xml:space="preserve"> z </w:t>
    </w:r>
    <w:r w:rsidR="00A916B2" w:rsidRPr="004D3451">
      <w:rPr>
        <w:sz w:val="18"/>
        <w:szCs w:val="18"/>
      </w:rPr>
      <w:fldChar w:fldCharType="begin"/>
    </w:r>
    <w:r w:rsidRPr="004D3451">
      <w:rPr>
        <w:sz w:val="18"/>
        <w:szCs w:val="18"/>
      </w:rPr>
      <w:instrText xml:space="preserve"> NUMPAGES  </w:instrText>
    </w:r>
    <w:r w:rsidR="00A916B2" w:rsidRPr="004D3451">
      <w:rPr>
        <w:sz w:val="18"/>
        <w:szCs w:val="18"/>
      </w:rPr>
      <w:fldChar w:fldCharType="separate"/>
    </w:r>
    <w:r w:rsidR="00242EEB">
      <w:rPr>
        <w:noProof/>
        <w:sz w:val="18"/>
        <w:szCs w:val="18"/>
      </w:rPr>
      <w:t>7</w:t>
    </w:r>
    <w:r w:rsidR="00A916B2" w:rsidRPr="004D3451">
      <w:rPr>
        <w:sz w:val="18"/>
        <w:szCs w:val="18"/>
      </w:rPr>
      <w:fldChar w:fldCharType="end"/>
    </w:r>
  </w:p>
  <w:p w14:paraId="2582B999" w14:textId="77777777" w:rsidR="002F45FD" w:rsidRPr="00CF16EA" w:rsidRDefault="00AE4B70" w:rsidP="009B1FBA">
    <w:pPr>
      <w:pStyle w:val="Stopka"/>
      <w:jc w:val="center"/>
      <w:rPr>
        <w:rFonts w:ascii="Calibri" w:hAnsi="Calibri" w:cs="Arial"/>
        <w:b/>
        <w:color w:val="17365D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B9416" w14:textId="77777777" w:rsidR="00215BE3" w:rsidRPr="004D3451" w:rsidRDefault="00021886" w:rsidP="00247EB2">
    <w:pPr>
      <w:pStyle w:val="Stopka"/>
      <w:pBdr>
        <w:top w:val="single" w:sz="4" w:space="0" w:color="auto"/>
      </w:pBdr>
      <w:jc w:val="center"/>
      <w:rPr>
        <w:sz w:val="18"/>
        <w:szCs w:val="18"/>
      </w:rPr>
    </w:pPr>
    <w:r w:rsidRPr="004D3451">
      <w:rPr>
        <w:sz w:val="18"/>
        <w:szCs w:val="18"/>
      </w:rPr>
      <w:t xml:space="preserve">Strona </w:t>
    </w:r>
    <w:r w:rsidR="00A916B2" w:rsidRPr="004D3451">
      <w:rPr>
        <w:sz w:val="18"/>
        <w:szCs w:val="18"/>
      </w:rPr>
      <w:fldChar w:fldCharType="begin"/>
    </w:r>
    <w:r w:rsidRPr="004D3451">
      <w:rPr>
        <w:sz w:val="18"/>
        <w:szCs w:val="18"/>
      </w:rPr>
      <w:instrText>PAGE</w:instrText>
    </w:r>
    <w:r w:rsidR="00A916B2" w:rsidRPr="004D3451">
      <w:rPr>
        <w:sz w:val="18"/>
        <w:szCs w:val="18"/>
      </w:rPr>
      <w:fldChar w:fldCharType="separate"/>
    </w:r>
    <w:r w:rsidR="004150B4">
      <w:rPr>
        <w:noProof/>
        <w:sz w:val="18"/>
        <w:szCs w:val="18"/>
      </w:rPr>
      <w:t>1</w:t>
    </w:r>
    <w:r w:rsidR="00A916B2" w:rsidRPr="004D3451">
      <w:rPr>
        <w:sz w:val="18"/>
        <w:szCs w:val="18"/>
      </w:rPr>
      <w:fldChar w:fldCharType="end"/>
    </w:r>
    <w:r w:rsidRPr="004D3451">
      <w:rPr>
        <w:sz w:val="18"/>
        <w:szCs w:val="18"/>
      </w:rPr>
      <w:t xml:space="preserve"> z </w:t>
    </w:r>
    <w:r w:rsidR="00A916B2" w:rsidRPr="004D3451">
      <w:rPr>
        <w:sz w:val="18"/>
        <w:szCs w:val="18"/>
      </w:rPr>
      <w:fldChar w:fldCharType="begin"/>
    </w:r>
    <w:r w:rsidRPr="004D3451">
      <w:rPr>
        <w:sz w:val="18"/>
        <w:szCs w:val="18"/>
      </w:rPr>
      <w:instrText>NUMPAGES</w:instrText>
    </w:r>
    <w:r w:rsidR="00A916B2" w:rsidRPr="004D3451">
      <w:rPr>
        <w:sz w:val="18"/>
        <w:szCs w:val="18"/>
      </w:rPr>
      <w:fldChar w:fldCharType="separate"/>
    </w:r>
    <w:r w:rsidR="004150B4">
      <w:rPr>
        <w:noProof/>
        <w:sz w:val="18"/>
        <w:szCs w:val="18"/>
      </w:rPr>
      <w:t>1</w:t>
    </w:r>
    <w:r w:rsidR="00A916B2" w:rsidRPr="004D3451">
      <w:rPr>
        <w:sz w:val="18"/>
        <w:szCs w:val="18"/>
      </w:rPr>
      <w:fldChar w:fldCharType="end"/>
    </w:r>
  </w:p>
  <w:p w14:paraId="63DCD347" w14:textId="77777777" w:rsidR="00215BE3" w:rsidRDefault="00AE4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99D3B" w14:textId="77777777" w:rsidR="00AE4B70" w:rsidRDefault="00AE4B70" w:rsidP="008A1FAA">
      <w:r>
        <w:separator/>
      </w:r>
    </w:p>
  </w:footnote>
  <w:footnote w:type="continuationSeparator" w:id="0">
    <w:p w14:paraId="02FCCB6F" w14:textId="77777777" w:rsidR="00AE4B70" w:rsidRDefault="00AE4B70" w:rsidP="008A1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A37B9" w14:textId="77777777" w:rsidR="00D87B04" w:rsidRPr="004D3451" w:rsidRDefault="00021886" w:rsidP="00D87B04">
    <w:pPr>
      <w:pStyle w:val="Nagwek"/>
      <w:pBdr>
        <w:bottom w:val="single" w:sz="4" w:space="1" w:color="auto"/>
      </w:pBdr>
      <w:jc w:val="center"/>
      <w:rPr>
        <w:i/>
        <w:sz w:val="18"/>
        <w:szCs w:val="18"/>
      </w:rPr>
    </w:pPr>
    <w:r w:rsidRPr="004D3451">
      <w:rPr>
        <w:i/>
        <w:sz w:val="18"/>
        <w:szCs w:val="18"/>
      </w:rPr>
      <w:t>JAKUB CIBOROWSKI - KANCELARIA RADCY PRAWNEGO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B475D" w14:textId="77777777" w:rsidR="00330685" w:rsidRPr="00350C41" w:rsidRDefault="006E76EC" w:rsidP="00FE3FB8">
    <w:pPr>
      <w:pStyle w:val="Nagwek"/>
      <w:spacing w:line="276" w:lineRule="auto"/>
      <w:jc w:val="center"/>
      <w:rPr>
        <w:rFonts w:ascii="Californian FB" w:hAnsi="Californian FB" w:cs="Arial"/>
        <w:b/>
        <w:sz w:val="20"/>
        <w:szCs w:val="20"/>
      </w:rPr>
    </w:pPr>
    <w:r w:rsidRPr="00350C41">
      <w:rPr>
        <w:rFonts w:ascii="Californian FB" w:hAnsi="Californian FB" w:cs="Arial"/>
        <w:b/>
        <w:noProof/>
        <w:sz w:val="20"/>
        <w:szCs w:val="20"/>
      </w:rPr>
      <w:drawing>
        <wp:inline distT="0" distB="0" distL="0" distR="0" wp14:anchorId="3600E7BB" wp14:editId="5BC6AE86">
          <wp:extent cx="2074545" cy="313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1886" w:rsidRPr="00350C41">
      <w:rPr>
        <w:rFonts w:ascii="Californian FB" w:hAnsi="Californian FB" w:cs="Arial"/>
        <w:b/>
        <w:sz w:val="20"/>
        <w:szCs w:val="20"/>
      </w:rPr>
      <w:t xml:space="preserve"> </w:t>
    </w:r>
  </w:p>
  <w:p w14:paraId="177D8318" w14:textId="77777777" w:rsidR="00A536BF" w:rsidRPr="00350C41" w:rsidRDefault="00021886" w:rsidP="00A05D65">
    <w:pPr>
      <w:pStyle w:val="Nagwek"/>
      <w:pBdr>
        <w:bottom w:val="single" w:sz="4" w:space="1" w:color="auto"/>
      </w:pBdr>
      <w:spacing w:line="276" w:lineRule="auto"/>
      <w:jc w:val="center"/>
      <w:rPr>
        <w:b/>
        <w:sz w:val="18"/>
        <w:szCs w:val="18"/>
      </w:rPr>
    </w:pPr>
    <w:r w:rsidRPr="00350C41">
      <w:rPr>
        <w:b/>
        <w:sz w:val="18"/>
        <w:szCs w:val="18"/>
      </w:rPr>
      <w:t xml:space="preserve">tel. 606-295-630, email: </w:t>
    </w:r>
    <w:hyperlink r:id="rId2" w:history="1">
      <w:r w:rsidR="000251AB" w:rsidRPr="00350C41">
        <w:rPr>
          <w:rStyle w:val="Hipercze"/>
          <w:b/>
          <w:color w:val="auto"/>
          <w:sz w:val="18"/>
          <w:szCs w:val="18"/>
          <w:u w:val="none"/>
        </w:rPr>
        <w:t>jc@kancelaria-ciborowski.pl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F51"/>
    <w:multiLevelType w:val="hybridMultilevel"/>
    <w:tmpl w:val="3410AEC8"/>
    <w:lvl w:ilvl="0" w:tplc="C63456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900EE8"/>
    <w:multiLevelType w:val="hybridMultilevel"/>
    <w:tmpl w:val="93886752"/>
    <w:lvl w:ilvl="0" w:tplc="AE84B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EC"/>
    <w:rsid w:val="00001225"/>
    <w:rsid w:val="00005851"/>
    <w:rsid w:val="00005E47"/>
    <w:rsid w:val="000079FA"/>
    <w:rsid w:val="00010175"/>
    <w:rsid w:val="000130CE"/>
    <w:rsid w:val="000213F9"/>
    <w:rsid w:val="00021886"/>
    <w:rsid w:val="00024B54"/>
    <w:rsid w:val="000251AB"/>
    <w:rsid w:val="00025E34"/>
    <w:rsid w:val="000279F6"/>
    <w:rsid w:val="0003638B"/>
    <w:rsid w:val="00041094"/>
    <w:rsid w:val="00042836"/>
    <w:rsid w:val="000463A5"/>
    <w:rsid w:val="000465D7"/>
    <w:rsid w:val="000507BE"/>
    <w:rsid w:val="00052225"/>
    <w:rsid w:val="00052EF6"/>
    <w:rsid w:val="00053353"/>
    <w:rsid w:val="00053702"/>
    <w:rsid w:val="00057BE5"/>
    <w:rsid w:val="000600A2"/>
    <w:rsid w:val="00061386"/>
    <w:rsid w:val="00064110"/>
    <w:rsid w:val="00065C0F"/>
    <w:rsid w:val="000662F6"/>
    <w:rsid w:val="00067F33"/>
    <w:rsid w:val="00075C5D"/>
    <w:rsid w:val="00077893"/>
    <w:rsid w:val="000810AF"/>
    <w:rsid w:val="0008211A"/>
    <w:rsid w:val="00082F28"/>
    <w:rsid w:val="00087536"/>
    <w:rsid w:val="00094109"/>
    <w:rsid w:val="00094A44"/>
    <w:rsid w:val="00095C69"/>
    <w:rsid w:val="00097640"/>
    <w:rsid w:val="000A1A53"/>
    <w:rsid w:val="000A2FFB"/>
    <w:rsid w:val="000A76A0"/>
    <w:rsid w:val="000A7DFE"/>
    <w:rsid w:val="000A7F37"/>
    <w:rsid w:val="000B512F"/>
    <w:rsid w:val="000B63D1"/>
    <w:rsid w:val="000B6DBB"/>
    <w:rsid w:val="000C38F1"/>
    <w:rsid w:val="000C56B2"/>
    <w:rsid w:val="000C6F81"/>
    <w:rsid w:val="000C7748"/>
    <w:rsid w:val="000D4D78"/>
    <w:rsid w:val="000D7C2D"/>
    <w:rsid w:val="000E10F0"/>
    <w:rsid w:val="000E1B41"/>
    <w:rsid w:val="000E429D"/>
    <w:rsid w:val="000E5932"/>
    <w:rsid w:val="000E73BE"/>
    <w:rsid w:val="000E78D0"/>
    <w:rsid w:val="000F3908"/>
    <w:rsid w:val="000F48FA"/>
    <w:rsid w:val="000F7F39"/>
    <w:rsid w:val="0010092E"/>
    <w:rsid w:val="00100CA1"/>
    <w:rsid w:val="00104EDA"/>
    <w:rsid w:val="00104FEE"/>
    <w:rsid w:val="00105698"/>
    <w:rsid w:val="0010711D"/>
    <w:rsid w:val="00107993"/>
    <w:rsid w:val="00110153"/>
    <w:rsid w:val="0011110A"/>
    <w:rsid w:val="00112253"/>
    <w:rsid w:val="00117AAD"/>
    <w:rsid w:val="00117F06"/>
    <w:rsid w:val="00120D82"/>
    <w:rsid w:val="001309B1"/>
    <w:rsid w:val="00132C57"/>
    <w:rsid w:val="0013364D"/>
    <w:rsid w:val="0013464A"/>
    <w:rsid w:val="00135430"/>
    <w:rsid w:val="001367D4"/>
    <w:rsid w:val="0013738E"/>
    <w:rsid w:val="001413D4"/>
    <w:rsid w:val="00143758"/>
    <w:rsid w:val="001439A3"/>
    <w:rsid w:val="001450AF"/>
    <w:rsid w:val="00145628"/>
    <w:rsid w:val="001463FC"/>
    <w:rsid w:val="00151346"/>
    <w:rsid w:val="00153ED0"/>
    <w:rsid w:val="001653C9"/>
    <w:rsid w:val="0017659D"/>
    <w:rsid w:val="00176953"/>
    <w:rsid w:val="001810AB"/>
    <w:rsid w:val="00184848"/>
    <w:rsid w:val="00186C7B"/>
    <w:rsid w:val="00186CC9"/>
    <w:rsid w:val="00190143"/>
    <w:rsid w:val="00190B08"/>
    <w:rsid w:val="00193415"/>
    <w:rsid w:val="00193B51"/>
    <w:rsid w:val="001945AB"/>
    <w:rsid w:val="001963F2"/>
    <w:rsid w:val="001965EE"/>
    <w:rsid w:val="00197163"/>
    <w:rsid w:val="00197C11"/>
    <w:rsid w:val="001A0A7E"/>
    <w:rsid w:val="001A4043"/>
    <w:rsid w:val="001A412D"/>
    <w:rsid w:val="001A4AFE"/>
    <w:rsid w:val="001A5633"/>
    <w:rsid w:val="001A6C7E"/>
    <w:rsid w:val="001B050D"/>
    <w:rsid w:val="001B3635"/>
    <w:rsid w:val="001B4B42"/>
    <w:rsid w:val="001B5E61"/>
    <w:rsid w:val="001B648B"/>
    <w:rsid w:val="001B700D"/>
    <w:rsid w:val="001B70C3"/>
    <w:rsid w:val="001C4CAF"/>
    <w:rsid w:val="001C5571"/>
    <w:rsid w:val="001C7297"/>
    <w:rsid w:val="001D199D"/>
    <w:rsid w:val="001D284E"/>
    <w:rsid w:val="001D2B3F"/>
    <w:rsid w:val="001D367E"/>
    <w:rsid w:val="001D54B4"/>
    <w:rsid w:val="001D7FA2"/>
    <w:rsid w:val="001E0789"/>
    <w:rsid w:val="001E2E1B"/>
    <w:rsid w:val="001F15B4"/>
    <w:rsid w:val="001F2546"/>
    <w:rsid w:val="001F2850"/>
    <w:rsid w:val="001F3B05"/>
    <w:rsid w:val="001F5B0F"/>
    <w:rsid w:val="001F738D"/>
    <w:rsid w:val="00200145"/>
    <w:rsid w:val="00204CF4"/>
    <w:rsid w:val="00213B09"/>
    <w:rsid w:val="00214583"/>
    <w:rsid w:val="0022010C"/>
    <w:rsid w:val="002203C8"/>
    <w:rsid w:val="00230868"/>
    <w:rsid w:val="00231B95"/>
    <w:rsid w:val="00233EFB"/>
    <w:rsid w:val="00235CCA"/>
    <w:rsid w:val="00240F28"/>
    <w:rsid w:val="00242DB4"/>
    <w:rsid w:val="00242EEB"/>
    <w:rsid w:val="002437A0"/>
    <w:rsid w:val="0024483D"/>
    <w:rsid w:val="00244D21"/>
    <w:rsid w:val="0024603B"/>
    <w:rsid w:val="00250831"/>
    <w:rsid w:val="00252DBC"/>
    <w:rsid w:val="002530DF"/>
    <w:rsid w:val="00254945"/>
    <w:rsid w:val="00256E67"/>
    <w:rsid w:val="0025787B"/>
    <w:rsid w:val="002606A8"/>
    <w:rsid w:val="00261CFA"/>
    <w:rsid w:val="00261F47"/>
    <w:rsid w:val="00263C9C"/>
    <w:rsid w:val="002679BF"/>
    <w:rsid w:val="002679D4"/>
    <w:rsid w:val="002702B6"/>
    <w:rsid w:val="002718FA"/>
    <w:rsid w:val="00272EEE"/>
    <w:rsid w:val="00273A9A"/>
    <w:rsid w:val="00274B2F"/>
    <w:rsid w:val="00274CAB"/>
    <w:rsid w:val="00276C2D"/>
    <w:rsid w:val="0028408B"/>
    <w:rsid w:val="00284D57"/>
    <w:rsid w:val="00287CD6"/>
    <w:rsid w:val="0029008A"/>
    <w:rsid w:val="00290232"/>
    <w:rsid w:val="0029099C"/>
    <w:rsid w:val="0029127D"/>
    <w:rsid w:val="0029676C"/>
    <w:rsid w:val="002A0CF2"/>
    <w:rsid w:val="002A2A22"/>
    <w:rsid w:val="002A3798"/>
    <w:rsid w:val="002A49F0"/>
    <w:rsid w:val="002A5F1C"/>
    <w:rsid w:val="002B076A"/>
    <w:rsid w:val="002B0D37"/>
    <w:rsid w:val="002B1248"/>
    <w:rsid w:val="002B536E"/>
    <w:rsid w:val="002B6146"/>
    <w:rsid w:val="002C13C2"/>
    <w:rsid w:val="002C30E0"/>
    <w:rsid w:val="002C3CB8"/>
    <w:rsid w:val="002C3DF8"/>
    <w:rsid w:val="002C6CDF"/>
    <w:rsid w:val="002C70CE"/>
    <w:rsid w:val="002D3467"/>
    <w:rsid w:val="002D3B46"/>
    <w:rsid w:val="002D3EBE"/>
    <w:rsid w:val="002D7718"/>
    <w:rsid w:val="002E3C0A"/>
    <w:rsid w:val="002E4FE0"/>
    <w:rsid w:val="002E5430"/>
    <w:rsid w:val="002E74C7"/>
    <w:rsid w:val="002F1E89"/>
    <w:rsid w:val="002F2AEE"/>
    <w:rsid w:val="002F34AE"/>
    <w:rsid w:val="002F76DC"/>
    <w:rsid w:val="002F7A96"/>
    <w:rsid w:val="00302725"/>
    <w:rsid w:val="003041CB"/>
    <w:rsid w:val="00305D4B"/>
    <w:rsid w:val="00311938"/>
    <w:rsid w:val="00315312"/>
    <w:rsid w:val="0031745C"/>
    <w:rsid w:val="0031745D"/>
    <w:rsid w:val="00320316"/>
    <w:rsid w:val="00320C94"/>
    <w:rsid w:val="0032212B"/>
    <w:rsid w:val="00322464"/>
    <w:rsid w:val="003224E9"/>
    <w:rsid w:val="0032298C"/>
    <w:rsid w:val="00326067"/>
    <w:rsid w:val="00335497"/>
    <w:rsid w:val="0033647F"/>
    <w:rsid w:val="00336CBE"/>
    <w:rsid w:val="00341370"/>
    <w:rsid w:val="00341ADC"/>
    <w:rsid w:val="00342E83"/>
    <w:rsid w:val="003437C6"/>
    <w:rsid w:val="0034408A"/>
    <w:rsid w:val="0034431E"/>
    <w:rsid w:val="00344AEF"/>
    <w:rsid w:val="0034686B"/>
    <w:rsid w:val="00350C41"/>
    <w:rsid w:val="003522F0"/>
    <w:rsid w:val="00353FD1"/>
    <w:rsid w:val="003547CD"/>
    <w:rsid w:val="003608DC"/>
    <w:rsid w:val="00362056"/>
    <w:rsid w:val="00362647"/>
    <w:rsid w:val="00363254"/>
    <w:rsid w:val="003658AD"/>
    <w:rsid w:val="00367070"/>
    <w:rsid w:val="00372240"/>
    <w:rsid w:val="00373B66"/>
    <w:rsid w:val="00374A7C"/>
    <w:rsid w:val="00375293"/>
    <w:rsid w:val="00375DE4"/>
    <w:rsid w:val="00383C91"/>
    <w:rsid w:val="00392F88"/>
    <w:rsid w:val="003953F8"/>
    <w:rsid w:val="00395E5A"/>
    <w:rsid w:val="00396A32"/>
    <w:rsid w:val="00397C57"/>
    <w:rsid w:val="003A2478"/>
    <w:rsid w:val="003A5B66"/>
    <w:rsid w:val="003A7101"/>
    <w:rsid w:val="003A7F03"/>
    <w:rsid w:val="003B0FAB"/>
    <w:rsid w:val="003B212B"/>
    <w:rsid w:val="003B2D98"/>
    <w:rsid w:val="003B3D23"/>
    <w:rsid w:val="003B47EB"/>
    <w:rsid w:val="003B4DE4"/>
    <w:rsid w:val="003C1D99"/>
    <w:rsid w:val="003C3EDB"/>
    <w:rsid w:val="003C670D"/>
    <w:rsid w:val="003D056F"/>
    <w:rsid w:val="003D064E"/>
    <w:rsid w:val="003D3051"/>
    <w:rsid w:val="003D344F"/>
    <w:rsid w:val="003D49BF"/>
    <w:rsid w:val="003D5D8A"/>
    <w:rsid w:val="003D6CDD"/>
    <w:rsid w:val="003E0DB7"/>
    <w:rsid w:val="003E1AAD"/>
    <w:rsid w:val="003E3E73"/>
    <w:rsid w:val="003E4E75"/>
    <w:rsid w:val="003E77FE"/>
    <w:rsid w:val="003F140D"/>
    <w:rsid w:val="003F6BFA"/>
    <w:rsid w:val="003F7376"/>
    <w:rsid w:val="00400BDB"/>
    <w:rsid w:val="00401D36"/>
    <w:rsid w:val="004020E4"/>
    <w:rsid w:val="0040252E"/>
    <w:rsid w:val="0040417D"/>
    <w:rsid w:val="00404527"/>
    <w:rsid w:val="00407E44"/>
    <w:rsid w:val="00411A7D"/>
    <w:rsid w:val="00412C42"/>
    <w:rsid w:val="0041307B"/>
    <w:rsid w:val="0041412F"/>
    <w:rsid w:val="00414D46"/>
    <w:rsid w:val="004150B4"/>
    <w:rsid w:val="00416858"/>
    <w:rsid w:val="00417810"/>
    <w:rsid w:val="004179F9"/>
    <w:rsid w:val="004244BC"/>
    <w:rsid w:val="00425333"/>
    <w:rsid w:val="00425B87"/>
    <w:rsid w:val="00435294"/>
    <w:rsid w:val="00441EAB"/>
    <w:rsid w:val="00443F1F"/>
    <w:rsid w:val="004547C4"/>
    <w:rsid w:val="0045492A"/>
    <w:rsid w:val="00456B41"/>
    <w:rsid w:val="00460416"/>
    <w:rsid w:val="00461F52"/>
    <w:rsid w:val="004660F9"/>
    <w:rsid w:val="00467400"/>
    <w:rsid w:val="00470D10"/>
    <w:rsid w:val="00471F5C"/>
    <w:rsid w:val="00471F70"/>
    <w:rsid w:val="004741AD"/>
    <w:rsid w:val="004770C3"/>
    <w:rsid w:val="00477C10"/>
    <w:rsid w:val="00483131"/>
    <w:rsid w:val="00490D6E"/>
    <w:rsid w:val="00493B5F"/>
    <w:rsid w:val="0049428E"/>
    <w:rsid w:val="00494C76"/>
    <w:rsid w:val="00496825"/>
    <w:rsid w:val="00496EDA"/>
    <w:rsid w:val="004A17AC"/>
    <w:rsid w:val="004A6490"/>
    <w:rsid w:val="004B00F7"/>
    <w:rsid w:val="004B0290"/>
    <w:rsid w:val="004B10DA"/>
    <w:rsid w:val="004B2463"/>
    <w:rsid w:val="004B2CE2"/>
    <w:rsid w:val="004B7D8D"/>
    <w:rsid w:val="004C0D7E"/>
    <w:rsid w:val="004C4D64"/>
    <w:rsid w:val="004C61C3"/>
    <w:rsid w:val="004C6BA6"/>
    <w:rsid w:val="004C6EFF"/>
    <w:rsid w:val="004D3451"/>
    <w:rsid w:val="004D5790"/>
    <w:rsid w:val="004D5C0B"/>
    <w:rsid w:val="004E0B8E"/>
    <w:rsid w:val="004E199D"/>
    <w:rsid w:val="004E23A6"/>
    <w:rsid w:val="004F3883"/>
    <w:rsid w:val="004F398C"/>
    <w:rsid w:val="004F59C7"/>
    <w:rsid w:val="004F78AA"/>
    <w:rsid w:val="00506997"/>
    <w:rsid w:val="005115EF"/>
    <w:rsid w:val="005128A2"/>
    <w:rsid w:val="0051582E"/>
    <w:rsid w:val="005252C4"/>
    <w:rsid w:val="0052627D"/>
    <w:rsid w:val="005302CC"/>
    <w:rsid w:val="00532AFC"/>
    <w:rsid w:val="00532B2C"/>
    <w:rsid w:val="00543132"/>
    <w:rsid w:val="00545777"/>
    <w:rsid w:val="00545FB6"/>
    <w:rsid w:val="00547A6E"/>
    <w:rsid w:val="00547B0C"/>
    <w:rsid w:val="00554353"/>
    <w:rsid w:val="005549C6"/>
    <w:rsid w:val="00554DF9"/>
    <w:rsid w:val="00557273"/>
    <w:rsid w:val="005612F1"/>
    <w:rsid w:val="00562C84"/>
    <w:rsid w:val="00564D49"/>
    <w:rsid w:val="0057108E"/>
    <w:rsid w:val="0057140F"/>
    <w:rsid w:val="005727AF"/>
    <w:rsid w:val="00572F1F"/>
    <w:rsid w:val="00573D91"/>
    <w:rsid w:val="00574E46"/>
    <w:rsid w:val="00575212"/>
    <w:rsid w:val="0057591A"/>
    <w:rsid w:val="00577C2B"/>
    <w:rsid w:val="00580979"/>
    <w:rsid w:val="00586010"/>
    <w:rsid w:val="00586054"/>
    <w:rsid w:val="00591BAB"/>
    <w:rsid w:val="00594377"/>
    <w:rsid w:val="005950CD"/>
    <w:rsid w:val="00596639"/>
    <w:rsid w:val="005A0071"/>
    <w:rsid w:val="005A0409"/>
    <w:rsid w:val="005A70B5"/>
    <w:rsid w:val="005A7D61"/>
    <w:rsid w:val="005B37DC"/>
    <w:rsid w:val="005B4469"/>
    <w:rsid w:val="005B7CB1"/>
    <w:rsid w:val="005C248D"/>
    <w:rsid w:val="005C4995"/>
    <w:rsid w:val="005C61B2"/>
    <w:rsid w:val="005C63CB"/>
    <w:rsid w:val="005D11EB"/>
    <w:rsid w:val="005D572E"/>
    <w:rsid w:val="005D797B"/>
    <w:rsid w:val="005E0871"/>
    <w:rsid w:val="005E3905"/>
    <w:rsid w:val="005E5CE0"/>
    <w:rsid w:val="005E5ED3"/>
    <w:rsid w:val="005E6BB0"/>
    <w:rsid w:val="006015A5"/>
    <w:rsid w:val="00601B7E"/>
    <w:rsid w:val="006023F3"/>
    <w:rsid w:val="00602D32"/>
    <w:rsid w:val="00605B90"/>
    <w:rsid w:val="00611432"/>
    <w:rsid w:val="006124C3"/>
    <w:rsid w:val="006131AF"/>
    <w:rsid w:val="00616717"/>
    <w:rsid w:val="00617CA0"/>
    <w:rsid w:val="00620DAB"/>
    <w:rsid w:val="006242FE"/>
    <w:rsid w:val="00627244"/>
    <w:rsid w:val="00631BEE"/>
    <w:rsid w:val="00633846"/>
    <w:rsid w:val="006460C9"/>
    <w:rsid w:val="006515C5"/>
    <w:rsid w:val="00652660"/>
    <w:rsid w:val="00654483"/>
    <w:rsid w:val="00661B94"/>
    <w:rsid w:val="00665334"/>
    <w:rsid w:val="00665BB0"/>
    <w:rsid w:val="00671716"/>
    <w:rsid w:val="00672CBA"/>
    <w:rsid w:val="006743D6"/>
    <w:rsid w:val="00676ED6"/>
    <w:rsid w:val="00683083"/>
    <w:rsid w:val="006873FC"/>
    <w:rsid w:val="00687434"/>
    <w:rsid w:val="006906D5"/>
    <w:rsid w:val="00691B69"/>
    <w:rsid w:val="006A0948"/>
    <w:rsid w:val="006A0ABE"/>
    <w:rsid w:val="006A1F77"/>
    <w:rsid w:val="006A3FF1"/>
    <w:rsid w:val="006A404E"/>
    <w:rsid w:val="006B08C9"/>
    <w:rsid w:val="006B26B1"/>
    <w:rsid w:val="006B2E49"/>
    <w:rsid w:val="006B3633"/>
    <w:rsid w:val="006B49EB"/>
    <w:rsid w:val="006B4C10"/>
    <w:rsid w:val="006B5685"/>
    <w:rsid w:val="006B7E8F"/>
    <w:rsid w:val="006C1C4A"/>
    <w:rsid w:val="006C43C3"/>
    <w:rsid w:val="006C4BDB"/>
    <w:rsid w:val="006D0160"/>
    <w:rsid w:val="006D091D"/>
    <w:rsid w:val="006D6DCB"/>
    <w:rsid w:val="006D7BBC"/>
    <w:rsid w:val="006E0475"/>
    <w:rsid w:val="006E222E"/>
    <w:rsid w:val="006E3E14"/>
    <w:rsid w:val="006E57D6"/>
    <w:rsid w:val="006E5E80"/>
    <w:rsid w:val="006E614D"/>
    <w:rsid w:val="006E6FEC"/>
    <w:rsid w:val="006E7598"/>
    <w:rsid w:val="006E76EC"/>
    <w:rsid w:val="006F7277"/>
    <w:rsid w:val="006F7E21"/>
    <w:rsid w:val="00705361"/>
    <w:rsid w:val="007074E8"/>
    <w:rsid w:val="00711394"/>
    <w:rsid w:val="007118F3"/>
    <w:rsid w:val="0071292F"/>
    <w:rsid w:val="00712FF5"/>
    <w:rsid w:val="0071370A"/>
    <w:rsid w:val="007153C9"/>
    <w:rsid w:val="00715DA0"/>
    <w:rsid w:val="00716A2A"/>
    <w:rsid w:val="00716CD3"/>
    <w:rsid w:val="00717D4C"/>
    <w:rsid w:val="00720E4C"/>
    <w:rsid w:val="00722306"/>
    <w:rsid w:val="007225E7"/>
    <w:rsid w:val="00722612"/>
    <w:rsid w:val="007305B7"/>
    <w:rsid w:val="00731210"/>
    <w:rsid w:val="00731EB5"/>
    <w:rsid w:val="00731EEE"/>
    <w:rsid w:val="0074471E"/>
    <w:rsid w:val="007506D4"/>
    <w:rsid w:val="00752639"/>
    <w:rsid w:val="007551F4"/>
    <w:rsid w:val="00765352"/>
    <w:rsid w:val="00774C39"/>
    <w:rsid w:val="007774C9"/>
    <w:rsid w:val="00781DA8"/>
    <w:rsid w:val="00783784"/>
    <w:rsid w:val="00784A35"/>
    <w:rsid w:val="0078561A"/>
    <w:rsid w:val="00786A8A"/>
    <w:rsid w:val="00787502"/>
    <w:rsid w:val="00790024"/>
    <w:rsid w:val="00793150"/>
    <w:rsid w:val="007941C5"/>
    <w:rsid w:val="00795588"/>
    <w:rsid w:val="007A3DB2"/>
    <w:rsid w:val="007A540F"/>
    <w:rsid w:val="007A5704"/>
    <w:rsid w:val="007B2FD9"/>
    <w:rsid w:val="007B49E5"/>
    <w:rsid w:val="007B64A0"/>
    <w:rsid w:val="007C2674"/>
    <w:rsid w:val="007C3F6C"/>
    <w:rsid w:val="007C4C0D"/>
    <w:rsid w:val="007C739D"/>
    <w:rsid w:val="007D12CF"/>
    <w:rsid w:val="007D1444"/>
    <w:rsid w:val="007D4941"/>
    <w:rsid w:val="007E0274"/>
    <w:rsid w:val="007E0895"/>
    <w:rsid w:val="007E7DC5"/>
    <w:rsid w:val="007F0964"/>
    <w:rsid w:val="007F44F8"/>
    <w:rsid w:val="007F463F"/>
    <w:rsid w:val="007F4BEB"/>
    <w:rsid w:val="00800D31"/>
    <w:rsid w:val="00801220"/>
    <w:rsid w:val="00810375"/>
    <w:rsid w:val="00810C62"/>
    <w:rsid w:val="008158FC"/>
    <w:rsid w:val="00821CE0"/>
    <w:rsid w:val="0082755C"/>
    <w:rsid w:val="00830F5F"/>
    <w:rsid w:val="008366AF"/>
    <w:rsid w:val="00841B22"/>
    <w:rsid w:val="00842B11"/>
    <w:rsid w:val="00845B1F"/>
    <w:rsid w:val="00847A9E"/>
    <w:rsid w:val="00850565"/>
    <w:rsid w:val="008523BA"/>
    <w:rsid w:val="00854250"/>
    <w:rsid w:val="008659CA"/>
    <w:rsid w:val="00866E3E"/>
    <w:rsid w:val="00867900"/>
    <w:rsid w:val="00870812"/>
    <w:rsid w:val="0087321D"/>
    <w:rsid w:val="008739E4"/>
    <w:rsid w:val="00874DE3"/>
    <w:rsid w:val="0088051E"/>
    <w:rsid w:val="008837D0"/>
    <w:rsid w:val="00886B44"/>
    <w:rsid w:val="00886C9B"/>
    <w:rsid w:val="0089147C"/>
    <w:rsid w:val="00894823"/>
    <w:rsid w:val="0089485F"/>
    <w:rsid w:val="008A1F71"/>
    <w:rsid w:val="008A1FAA"/>
    <w:rsid w:val="008A4523"/>
    <w:rsid w:val="008A5134"/>
    <w:rsid w:val="008A5665"/>
    <w:rsid w:val="008A64B4"/>
    <w:rsid w:val="008A6FA4"/>
    <w:rsid w:val="008A72E4"/>
    <w:rsid w:val="008B0BE0"/>
    <w:rsid w:val="008B19D6"/>
    <w:rsid w:val="008B3D4D"/>
    <w:rsid w:val="008B485B"/>
    <w:rsid w:val="008B6262"/>
    <w:rsid w:val="008B6A9D"/>
    <w:rsid w:val="008C1781"/>
    <w:rsid w:val="008C404C"/>
    <w:rsid w:val="008C599B"/>
    <w:rsid w:val="008C76C0"/>
    <w:rsid w:val="008C79F5"/>
    <w:rsid w:val="008D016A"/>
    <w:rsid w:val="008D0AE1"/>
    <w:rsid w:val="008D400C"/>
    <w:rsid w:val="008D6609"/>
    <w:rsid w:val="008E16B6"/>
    <w:rsid w:val="008E517B"/>
    <w:rsid w:val="008F1053"/>
    <w:rsid w:val="008F4682"/>
    <w:rsid w:val="008F67F2"/>
    <w:rsid w:val="00903603"/>
    <w:rsid w:val="00904DEE"/>
    <w:rsid w:val="00911836"/>
    <w:rsid w:val="00912018"/>
    <w:rsid w:val="00920E58"/>
    <w:rsid w:val="00923397"/>
    <w:rsid w:val="009307A3"/>
    <w:rsid w:val="00941059"/>
    <w:rsid w:val="00941B57"/>
    <w:rsid w:val="00942651"/>
    <w:rsid w:val="00945D95"/>
    <w:rsid w:val="009500AD"/>
    <w:rsid w:val="00951228"/>
    <w:rsid w:val="009538F7"/>
    <w:rsid w:val="00955C79"/>
    <w:rsid w:val="00956D29"/>
    <w:rsid w:val="0096040E"/>
    <w:rsid w:val="0096078B"/>
    <w:rsid w:val="00961CCB"/>
    <w:rsid w:val="00964ADC"/>
    <w:rsid w:val="00973302"/>
    <w:rsid w:val="00973EEE"/>
    <w:rsid w:val="00976046"/>
    <w:rsid w:val="00976612"/>
    <w:rsid w:val="00977B6B"/>
    <w:rsid w:val="009843C4"/>
    <w:rsid w:val="009854BA"/>
    <w:rsid w:val="00985DF2"/>
    <w:rsid w:val="009876E6"/>
    <w:rsid w:val="00991283"/>
    <w:rsid w:val="00991A73"/>
    <w:rsid w:val="00992A53"/>
    <w:rsid w:val="0099499F"/>
    <w:rsid w:val="0099564E"/>
    <w:rsid w:val="009967E7"/>
    <w:rsid w:val="00996A0F"/>
    <w:rsid w:val="0099718C"/>
    <w:rsid w:val="00997D10"/>
    <w:rsid w:val="009A1FAB"/>
    <w:rsid w:val="009A3377"/>
    <w:rsid w:val="009A5476"/>
    <w:rsid w:val="009A6BC7"/>
    <w:rsid w:val="009B0AF4"/>
    <w:rsid w:val="009B2EE0"/>
    <w:rsid w:val="009B2F2A"/>
    <w:rsid w:val="009B3AC8"/>
    <w:rsid w:val="009B630D"/>
    <w:rsid w:val="009B7C69"/>
    <w:rsid w:val="009C0B12"/>
    <w:rsid w:val="009C2B55"/>
    <w:rsid w:val="009C715B"/>
    <w:rsid w:val="009C7C18"/>
    <w:rsid w:val="009D044B"/>
    <w:rsid w:val="009D280A"/>
    <w:rsid w:val="009D3208"/>
    <w:rsid w:val="009D4A6F"/>
    <w:rsid w:val="009D5305"/>
    <w:rsid w:val="009D610C"/>
    <w:rsid w:val="009E376C"/>
    <w:rsid w:val="009E5672"/>
    <w:rsid w:val="009F40D5"/>
    <w:rsid w:val="009F63F6"/>
    <w:rsid w:val="00A04FB1"/>
    <w:rsid w:val="00A1117C"/>
    <w:rsid w:val="00A13D80"/>
    <w:rsid w:val="00A13F4D"/>
    <w:rsid w:val="00A15A7D"/>
    <w:rsid w:val="00A21921"/>
    <w:rsid w:val="00A27F9A"/>
    <w:rsid w:val="00A31BE0"/>
    <w:rsid w:val="00A32AF5"/>
    <w:rsid w:val="00A34A48"/>
    <w:rsid w:val="00A34E4D"/>
    <w:rsid w:val="00A35EC6"/>
    <w:rsid w:val="00A36B56"/>
    <w:rsid w:val="00A41392"/>
    <w:rsid w:val="00A4436C"/>
    <w:rsid w:val="00A47A1E"/>
    <w:rsid w:val="00A516E5"/>
    <w:rsid w:val="00A53401"/>
    <w:rsid w:val="00A5523E"/>
    <w:rsid w:val="00A606F9"/>
    <w:rsid w:val="00A62451"/>
    <w:rsid w:val="00A641B0"/>
    <w:rsid w:val="00A662D6"/>
    <w:rsid w:val="00A66D7A"/>
    <w:rsid w:val="00A673D5"/>
    <w:rsid w:val="00A710B8"/>
    <w:rsid w:val="00A7193C"/>
    <w:rsid w:val="00A728D6"/>
    <w:rsid w:val="00A755A4"/>
    <w:rsid w:val="00A810FE"/>
    <w:rsid w:val="00A81423"/>
    <w:rsid w:val="00A836C4"/>
    <w:rsid w:val="00A860F0"/>
    <w:rsid w:val="00A868B8"/>
    <w:rsid w:val="00A875B3"/>
    <w:rsid w:val="00A87C5C"/>
    <w:rsid w:val="00A91468"/>
    <w:rsid w:val="00A916B2"/>
    <w:rsid w:val="00A91E91"/>
    <w:rsid w:val="00A956B3"/>
    <w:rsid w:val="00A97020"/>
    <w:rsid w:val="00A97218"/>
    <w:rsid w:val="00AA14AE"/>
    <w:rsid w:val="00AA2442"/>
    <w:rsid w:val="00AA40DB"/>
    <w:rsid w:val="00AA4B45"/>
    <w:rsid w:val="00AB0690"/>
    <w:rsid w:val="00AB1171"/>
    <w:rsid w:val="00AB184B"/>
    <w:rsid w:val="00AB405C"/>
    <w:rsid w:val="00AB6A54"/>
    <w:rsid w:val="00AB76B8"/>
    <w:rsid w:val="00AC07BF"/>
    <w:rsid w:val="00AC31E3"/>
    <w:rsid w:val="00AC5B8B"/>
    <w:rsid w:val="00AC735E"/>
    <w:rsid w:val="00AD3446"/>
    <w:rsid w:val="00AD3485"/>
    <w:rsid w:val="00AD48AB"/>
    <w:rsid w:val="00AD4B05"/>
    <w:rsid w:val="00AD6612"/>
    <w:rsid w:val="00AE2A10"/>
    <w:rsid w:val="00AE4AA1"/>
    <w:rsid w:val="00AE4B70"/>
    <w:rsid w:val="00AF0BAB"/>
    <w:rsid w:val="00AF0CD6"/>
    <w:rsid w:val="00AF75B9"/>
    <w:rsid w:val="00AF763D"/>
    <w:rsid w:val="00B002E4"/>
    <w:rsid w:val="00B00D37"/>
    <w:rsid w:val="00B01689"/>
    <w:rsid w:val="00B0525E"/>
    <w:rsid w:val="00B05324"/>
    <w:rsid w:val="00B12E26"/>
    <w:rsid w:val="00B21DEA"/>
    <w:rsid w:val="00B23623"/>
    <w:rsid w:val="00B24516"/>
    <w:rsid w:val="00B269C1"/>
    <w:rsid w:val="00B30A61"/>
    <w:rsid w:val="00B36F0E"/>
    <w:rsid w:val="00B37361"/>
    <w:rsid w:val="00B4136D"/>
    <w:rsid w:val="00B43305"/>
    <w:rsid w:val="00B44115"/>
    <w:rsid w:val="00B45922"/>
    <w:rsid w:val="00B45E23"/>
    <w:rsid w:val="00B476B3"/>
    <w:rsid w:val="00B50126"/>
    <w:rsid w:val="00B5193D"/>
    <w:rsid w:val="00B51F9D"/>
    <w:rsid w:val="00B54F34"/>
    <w:rsid w:val="00B61C37"/>
    <w:rsid w:val="00B65637"/>
    <w:rsid w:val="00B6626B"/>
    <w:rsid w:val="00B70EB8"/>
    <w:rsid w:val="00B714B7"/>
    <w:rsid w:val="00B72140"/>
    <w:rsid w:val="00B76E17"/>
    <w:rsid w:val="00B804D1"/>
    <w:rsid w:val="00B8153D"/>
    <w:rsid w:val="00B82089"/>
    <w:rsid w:val="00B94666"/>
    <w:rsid w:val="00BA0F8A"/>
    <w:rsid w:val="00BA7066"/>
    <w:rsid w:val="00BA7A02"/>
    <w:rsid w:val="00BB0645"/>
    <w:rsid w:val="00BB5B25"/>
    <w:rsid w:val="00BB6B83"/>
    <w:rsid w:val="00BC2135"/>
    <w:rsid w:val="00BC39F1"/>
    <w:rsid w:val="00BC3C28"/>
    <w:rsid w:val="00BC4113"/>
    <w:rsid w:val="00BC5A42"/>
    <w:rsid w:val="00BC5D13"/>
    <w:rsid w:val="00BC793E"/>
    <w:rsid w:val="00BC7AD8"/>
    <w:rsid w:val="00BD0C4D"/>
    <w:rsid w:val="00BD1080"/>
    <w:rsid w:val="00BD29EE"/>
    <w:rsid w:val="00BD5A63"/>
    <w:rsid w:val="00BD5F0E"/>
    <w:rsid w:val="00BD630A"/>
    <w:rsid w:val="00BD687C"/>
    <w:rsid w:val="00BF3C90"/>
    <w:rsid w:val="00BF68BA"/>
    <w:rsid w:val="00BF711B"/>
    <w:rsid w:val="00BF723F"/>
    <w:rsid w:val="00C00897"/>
    <w:rsid w:val="00C07C5F"/>
    <w:rsid w:val="00C101A3"/>
    <w:rsid w:val="00C14EF1"/>
    <w:rsid w:val="00C22193"/>
    <w:rsid w:val="00C26356"/>
    <w:rsid w:val="00C3318C"/>
    <w:rsid w:val="00C3413F"/>
    <w:rsid w:val="00C34C0A"/>
    <w:rsid w:val="00C358FE"/>
    <w:rsid w:val="00C42113"/>
    <w:rsid w:val="00C43E13"/>
    <w:rsid w:val="00C43E41"/>
    <w:rsid w:val="00C4614D"/>
    <w:rsid w:val="00C5052B"/>
    <w:rsid w:val="00C508A9"/>
    <w:rsid w:val="00C51A98"/>
    <w:rsid w:val="00C539B1"/>
    <w:rsid w:val="00C55910"/>
    <w:rsid w:val="00C66C2F"/>
    <w:rsid w:val="00C67C1E"/>
    <w:rsid w:val="00C711B1"/>
    <w:rsid w:val="00C73ABA"/>
    <w:rsid w:val="00C742A9"/>
    <w:rsid w:val="00C75B09"/>
    <w:rsid w:val="00C81CD7"/>
    <w:rsid w:val="00C82122"/>
    <w:rsid w:val="00C82421"/>
    <w:rsid w:val="00C825B4"/>
    <w:rsid w:val="00C832C5"/>
    <w:rsid w:val="00C85325"/>
    <w:rsid w:val="00C8683A"/>
    <w:rsid w:val="00C8770C"/>
    <w:rsid w:val="00C9051B"/>
    <w:rsid w:val="00C95596"/>
    <w:rsid w:val="00C95FAD"/>
    <w:rsid w:val="00C971D5"/>
    <w:rsid w:val="00C97EA0"/>
    <w:rsid w:val="00CA1992"/>
    <w:rsid w:val="00CA52E5"/>
    <w:rsid w:val="00CA5486"/>
    <w:rsid w:val="00CB05A6"/>
    <w:rsid w:val="00CB30BA"/>
    <w:rsid w:val="00CB3931"/>
    <w:rsid w:val="00CB6F45"/>
    <w:rsid w:val="00CC3F62"/>
    <w:rsid w:val="00CE2020"/>
    <w:rsid w:val="00CE565E"/>
    <w:rsid w:val="00CF083C"/>
    <w:rsid w:val="00CF12E4"/>
    <w:rsid w:val="00CF1342"/>
    <w:rsid w:val="00CF1D50"/>
    <w:rsid w:val="00CF4E85"/>
    <w:rsid w:val="00CF65C9"/>
    <w:rsid w:val="00D00B6A"/>
    <w:rsid w:val="00D02939"/>
    <w:rsid w:val="00D03167"/>
    <w:rsid w:val="00D03ED7"/>
    <w:rsid w:val="00D071EC"/>
    <w:rsid w:val="00D12C83"/>
    <w:rsid w:val="00D12FD3"/>
    <w:rsid w:val="00D143E9"/>
    <w:rsid w:val="00D16705"/>
    <w:rsid w:val="00D22A1B"/>
    <w:rsid w:val="00D24452"/>
    <w:rsid w:val="00D24A0B"/>
    <w:rsid w:val="00D2555B"/>
    <w:rsid w:val="00D30237"/>
    <w:rsid w:val="00D30847"/>
    <w:rsid w:val="00D3106E"/>
    <w:rsid w:val="00D312CC"/>
    <w:rsid w:val="00D35DCD"/>
    <w:rsid w:val="00D41D1D"/>
    <w:rsid w:val="00D42A20"/>
    <w:rsid w:val="00D42B39"/>
    <w:rsid w:val="00D4376E"/>
    <w:rsid w:val="00D5292A"/>
    <w:rsid w:val="00D566F8"/>
    <w:rsid w:val="00D60C88"/>
    <w:rsid w:val="00D61E02"/>
    <w:rsid w:val="00D771D8"/>
    <w:rsid w:val="00D80F0A"/>
    <w:rsid w:val="00D87169"/>
    <w:rsid w:val="00D87D9C"/>
    <w:rsid w:val="00D90397"/>
    <w:rsid w:val="00D93010"/>
    <w:rsid w:val="00D93A89"/>
    <w:rsid w:val="00D93EF6"/>
    <w:rsid w:val="00D94167"/>
    <w:rsid w:val="00D971F9"/>
    <w:rsid w:val="00D97B81"/>
    <w:rsid w:val="00DA21FA"/>
    <w:rsid w:val="00DA6040"/>
    <w:rsid w:val="00DA7C8A"/>
    <w:rsid w:val="00DB1B58"/>
    <w:rsid w:val="00DB24A6"/>
    <w:rsid w:val="00DB303C"/>
    <w:rsid w:val="00DB52E0"/>
    <w:rsid w:val="00DC24FB"/>
    <w:rsid w:val="00DC4117"/>
    <w:rsid w:val="00DD1C6B"/>
    <w:rsid w:val="00DD3A9E"/>
    <w:rsid w:val="00DD4002"/>
    <w:rsid w:val="00DE4A21"/>
    <w:rsid w:val="00DE4AAC"/>
    <w:rsid w:val="00DE746E"/>
    <w:rsid w:val="00DE7FEE"/>
    <w:rsid w:val="00DF6160"/>
    <w:rsid w:val="00DF78CE"/>
    <w:rsid w:val="00E0268D"/>
    <w:rsid w:val="00E045C1"/>
    <w:rsid w:val="00E04662"/>
    <w:rsid w:val="00E130BE"/>
    <w:rsid w:val="00E16887"/>
    <w:rsid w:val="00E171A9"/>
    <w:rsid w:val="00E178B0"/>
    <w:rsid w:val="00E201EE"/>
    <w:rsid w:val="00E227DE"/>
    <w:rsid w:val="00E25044"/>
    <w:rsid w:val="00E31940"/>
    <w:rsid w:val="00E34122"/>
    <w:rsid w:val="00E36DA5"/>
    <w:rsid w:val="00E36F42"/>
    <w:rsid w:val="00E464D2"/>
    <w:rsid w:val="00E47E16"/>
    <w:rsid w:val="00E53914"/>
    <w:rsid w:val="00E549E2"/>
    <w:rsid w:val="00E54B77"/>
    <w:rsid w:val="00E5555B"/>
    <w:rsid w:val="00E60647"/>
    <w:rsid w:val="00E60A0F"/>
    <w:rsid w:val="00E60A87"/>
    <w:rsid w:val="00E60D0B"/>
    <w:rsid w:val="00E6231C"/>
    <w:rsid w:val="00E6282D"/>
    <w:rsid w:val="00E635B2"/>
    <w:rsid w:val="00E63634"/>
    <w:rsid w:val="00E64C14"/>
    <w:rsid w:val="00E654FA"/>
    <w:rsid w:val="00E65BB4"/>
    <w:rsid w:val="00E66244"/>
    <w:rsid w:val="00E670A0"/>
    <w:rsid w:val="00E672A1"/>
    <w:rsid w:val="00E67539"/>
    <w:rsid w:val="00E704B5"/>
    <w:rsid w:val="00E71BCC"/>
    <w:rsid w:val="00E72460"/>
    <w:rsid w:val="00E73A43"/>
    <w:rsid w:val="00E75FCD"/>
    <w:rsid w:val="00E77F9D"/>
    <w:rsid w:val="00E82147"/>
    <w:rsid w:val="00E839DA"/>
    <w:rsid w:val="00E8436E"/>
    <w:rsid w:val="00E8634C"/>
    <w:rsid w:val="00E93D55"/>
    <w:rsid w:val="00E9519C"/>
    <w:rsid w:val="00E97123"/>
    <w:rsid w:val="00E97835"/>
    <w:rsid w:val="00EA467D"/>
    <w:rsid w:val="00EC35E0"/>
    <w:rsid w:val="00EC4DA4"/>
    <w:rsid w:val="00EC71F3"/>
    <w:rsid w:val="00ED01B9"/>
    <w:rsid w:val="00ED0220"/>
    <w:rsid w:val="00ED17F6"/>
    <w:rsid w:val="00ED23A0"/>
    <w:rsid w:val="00ED5A50"/>
    <w:rsid w:val="00ED7432"/>
    <w:rsid w:val="00ED7A38"/>
    <w:rsid w:val="00EE082C"/>
    <w:rsid w:val="00EE1F1C"/>
    <w:rsid w:val="00EE2B8A"/>
    <w:rsid w:val="00EE43F0"/>
    <w:rsid w:val="00EE7440"/>
    <w:rsid w:val="00EF53F6"/>
    <w:rsid w:val="00F015EE"/>
    <w:rsid w:val="00F06739"/>
    <w:rsid w:val="00F07AA7"/>
    <w:rsid w:val="00F10F50"/>
    <w:rsid w:val="00F1199B"/>
    <w:rsid w:val="00F144A2"/>
    <w:rsid w:val="00F14DE4"/>
    <w:rsid w:val="00F15559"/>
    <w:rsid w:val="00F214BC"/>
    <w:rsid w:val="00F267A7"/>
    <w:rsid w:val="00F2749B"/>
    <w:rsid w:val="00F27C53"/>
    <w:rsid w:val="00F30AA1"/>
    <w:rsid w:val="00F30B1F"/>
    <w:rsid w:val="00F33B64"/>
    <w:rsid w:val="00F375AF"/>
    <w:rsid w:val="00F4031B"/>
    <w:rsid w:val="00F439EA"/>
    <w:rsid w:val="00F44B74"/>
    <w:rsid w:val="00F51DDC"/>
    <w:rsid w:val="00F54A98"/>
    <w:rsid w:val="00F56EB5"/>
    <w:rsid w:val="00F6306E"/>
    <w:rsid w:val="00F633E9"/>
    <w:rsid w:val="00F655B4"/>
    <w:rsid w:val="00F66D28"/>
    <w:rsid w:val="00F728A5"/>
    <w:rsid w:val="00F73BC3"/>
    <w:rsid w:val="00F75BAE"/>
    <w:rsid w:val="00F80F83"/>
    <w:rsid w:val="00F90B9D"/>
    <w:rsid w:val="00F966D9"/>
    <w:rsid w:val="00FA30EA"/>
    <w:rsid w:val="00FA3116"/>
    <w:rsid w:val="00FA3582"/>
    <w:rsid w:val="00FA38B0"/>
    <w:rsid w:val="00FB079B"/>
    <w:rsid w:val="00FB0ED2"/>
    <w:rsid w:val="00FB16A5"/>
    <w:rsid w:val="00FB1D87"/>
    <w:rsid w:val="00FB3E75"/>
    <w:rsid w:val="00FC27E3"/>
    <w:rsid w:val="00FC72C2"/>
    <w:rsid w:val="00FD00CC"/>
    <w:rsid w:val="00FD0474"/>
    <w:rsid w:val="00FD1DD5"/>
    <w:rsid w:val="00FD272F"/>
    <w:rsid w:val="00FD27A9"/>
    <w:rsid w:val="00FD2A4C"/>
    <w:rsid w:val="00FD2FDB"/>
    <w:rsid w:val="00FD3527"/>
    <w:rsid w:val="00FD3545"/>
    <w:rsid w:val="00FD3B88"/>
    <w:rsid w:val="00FE2358"/>
    <w:rsid w:val="00FF39DC"/>
    <w:rsid w:val="00FF3F26"/>
    <w:rsid w:val="00FF40E1"/>
    <w:rsid w:val="00FF661B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5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1FA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1FA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1FA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A1FA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1FA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E76EC"/>
    <w:pPr>
      <w:spacing w:before="100" w:beforeAutospacing="1" w:after="100" w:afterAutospacing="1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51A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14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6A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6A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6E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6E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76E6"/>
    <w:rPr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0C7748"/>
    <w:pPr>
      <w:suppressAutoHyphens/>
      <w:autoSpaceDN w:val="0"/>
      <w:spacing w:before="120" w:after="0" w:line="360" w:lineRule="auto"/>
      <w:ind w:firstLine="510"/>
      <w:jc w:val="both"/>
      <w:textAlignment w:val="baseline"/>
    </w:pPr>
    <w:rPr>
      <w:rFonts w:ascii="Times" w:eastAsia="F" w:hAnsi="Times" w:cs="Arial"/>
      <w:sz w:val="24"/>
      <w:szCs w:val="20"/>
    </w:rPr>
  </w:style>
  <w:style w:type="character" w:customStyle="1" w:styleId="IGindeksgrny">
    <w:name w:val="_IG_ – indeks górny"/>
    <w:basedOn w:val="Domylnaczcionkaakapitu"/>
    <w:qFormat/>
    <w:rsid w:val="000C7748"/>
    <w:rPr>
      <w:b w:val="0"/>
      <w:i w:val="0"/>
      <w:vanish w:val="0"/>
      <w:spacing w:val="0"/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12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E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EE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E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E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C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1FA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1FA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1FA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A1FA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1FA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E76EC"/>
    <w:pPr>
      <w:spacing w:before="100" w:beforeAutospacing="1" w:after="100" w:afterAutospacing="1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51A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14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6A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6A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6E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6E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76E6"/>
    <w:rPr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0C7748"/>
    <w:pPr>
      <w:suppressAutoHyphens/>
      <w:autoSpaceDN w:val="0"/>
      <w:spacing w:before="120" w:after="0" w:line="360" w:lineRule="auto"/>
      <w:ind w:firstLine="510"/>
      <w:jc w:val="both"/>
      <w:textAlignment w:val="baseline"/>
    </w:pPr>
    <w:rPr>
      <w:rFonts w:ascii="Times" w:eastAsia="F" w:hAnsi="Times" w:cs="Arial"/>
      <w:sz w:val="24"/>
      <w:szCs w:val="20"/>
    </w:rPr>
  </w:style>
  <w:style w:type="character" w:customStyle="1" w:styleId="IGindeksgrny">
    <w:name w:val="_IG_ – indeks górny"/>
    <w:basedOn w:val="Domylnaczcionkaakapitu"/>
    <w:qFormat/>
    <w:rsid w:val="000C7748"/>
    <w:rPr>
      <w:b w:val="0"/>
      <w:i w:val="0"/>
      <w:vanish w:val="0"/>
      <w:spacing w:val="0"/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12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E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EE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E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E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C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jc@kancelaria-ciborowski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bor\OneDrive\KANCELARIA\Kancelaria\@Poligrafia\Szablon%20w&#322;a&#347;ciwy%20papier%20firmowy%20J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właściwy papier firmowy JC</Template>
  <TotalTime>0</TotalTime>
  <Pages>2</Pages>
  <Words>3276</Words>
  <Characters>19662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Ciborowski</dc:creator>
  <cp:lastModifiedBy>Daniel</cp:lastModifiedBy>
  <cp:revision>2</cp:revision>
  <cp:lastPrinted>2022-04-07T18:06:00Z</cp:lastPrinted>
  <dcterms:created xsi:type="dcterms:W3CDTF">2022-06-10T22:56:00Z</dcterms:created>
  <dcterms:modified xsi:type="dcterms:W3CDTF">2022-06-10T22:56:00Z</dcterms:modified>
</cp:coreProperties>
</file>