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A017B" w14:textId="77777777" w:rsidR="00554DF9" w:rsidRPr="0057309D" w:rsidRDefault="00554DF9" w:rsidP="002D5DC0">
      <w:pPr>
        <w:spacing w:line="276" w:lineRule="auto"/>
        <w:jc w:val="right"/>
        <w:rPr>
          <w:sz w:val="22"/>
          <w:szCs w:val="22"/>
        </w:rPr>
      </w:pPr>
      <w:bookmarkStart w:id="0" w:name="_GoBack"/>
      <w:bookmarkEnd w:id="0"/>
    </w:p>
    <w:p w14:paraId="5667AFF0" w14:textId="5531F4A7" w:rsidR="006E76EC" w:rsidRPr="0057309D" w:rsidRDefault="000251AB" w:rsidP="002D5DC0">
      <w:pPr>
        <w:spacing w:line="276" w:lineRule="auto"/>
        <w:jc w:val="right"/>
        <w:rPr>
          <w:sz w:val="22"/>
          <w:szCs w:val="22"/>
        </w:rPr>
      </w:pPr>
      <w:r w:rsidRPr="0057309D">
        <w:rPr>
          <w:sz w:val="22"/>
          <w:szCs w:val="22"/>
        </w:rPr>
        <w:t xml:space="preserve">Kraków, dnia </w:t>
      </w:r>
      <w:r w:rsidR="002F1C2D" w:rsidRPr="0057309D">
        <w:rPr>
          <w:sz w:val="22"/>
          <w:szCs w:val="22"/>
        </w:rPr>
        <w:t>1</w:t>
      </w:r>
      <w:r w:rsidR="006A76F7">
        <w:rPr>
          <w:sz w:val="22"/>
          <w:szCs w:val="22"/>
        </w:rPr>
        <w:t>2</w:t>
      </w:r>
      <w:r w:rsidRPr="0057309D">
        <w:rPr>
          <w:sz w:val="22"/>
          <w:szCs w:val="22"/>
        </w:rPr>
        <w:t xml:space="preserve"> kwietnia 2022 r.</w:t>
      </w:r>
    </w:p>
    <w:p w14:paraId="62D56586" w14:textId="77777777" w:rsidR="006E76EC" w:rsidRPr="0057309D" w:rsidRDefault="006E76EC" w:rsidP="002D5DC0">
      <w:pPr>
        <w:spacing w:line="276" w:lineRule="auto"/>
        <w:jc w:val="both"/>
        <w:rPr>
          <w:b/>
          <w:sz w:val="22"/>
          <w:szCs w:val="22"/>
        </w:rPr>
      </w:pPr>
    </w:p>
    <w:p w14:paraId="2FA4AFA1" w14:textId="77777777" w:rsidR="006E76EC" w:rsidRPr="0057309D" w:rsidRDefault="006E76EC" w:rsidP="002D5DC0">
      <w:pPr>
        <w:spacing w:line="276" w:lineRule="auto"/>
        <w:rPr>
          <w:b/>
          <w:bCs/>
          <w:sz w:val="22"/>
          <w:szCs w:val="22"/>
        </w:rPr>
      </w:pPr>
      <w:r w:rsidRPr="0057309D">
        <w:rPr>
          <w:sz w:val="22"/>
          <w:szCs w:val="22"/>
        </w:rPr>
        <w:t>DANE PODMIOTU WNOSZĄCEGO PETYCJĘ:</w:t>
      </w:r>
      <w:r w:rsidR="000251AB" w:rsidRPr="0057309D">
        <w:rPr>
          <w:sz w:val="22"/>
          <w:szCs w:val="22"/>
        </w:rPr>
        <w:br/>
      </w:r>
      <w:r w:rsidR="000251AB" w:rsidRPr="0057309D">
        <w:rPr>
          <w:b/>
          <w:bCs/>
          <w:sz w:val="22"/>
          <w:szCs w:val="22"/>
        </w:rPr>
        <w:t>Daniel Olechnowicz</w:t>
      </w:r>
      <w:r w:rsidR="00D24A0B" w:rsidRPr="0057309D">
        <w:rPr>
          <w:b/>
          <w:bCs/>
          <w:sz w:val="22"/>
          <w:szCs w:val="22"/>
        </w:rPr>
        <w:br/>
      </w:r>
      <w:r w:rsidR="000251AB" w:rsidRPr="0057309D">
        <w:rPr>
          <w:b/>
          <w:bCs/>
          <w:sz w:val="22"/>
          <w:szCs w:val="22"/>
        </w:rPr>
        <w:t>Przewodniczący Porozumienia Akcjonariuszy</w:t>
      </w:r>
      <w:r w:rsidR="005E3905" w:rsidRPr="0057309D">
        <w:rPr>
          <w:b/>
          <w:bCs/>
          <w:sz w:val="22"/>
          <w:szCs w:val="22"/>
        </w:rPr>
        <w:br/>
      </w:r>
      <w:r w:rsidR="000251AB" w:rsidRPr="0057309D">
        <w:rPr>
          <w:b/>
          <w:bCs/>
          <w:sz w:val="22"/>
          <w:szCs w:val="22"/>
        </w:rPr>
        <w:t>Spółki Akcyjnej Elektrim</w:t>
      </w:r>
      <w:r w:rsidR="000251AB" w:rsidRPr="0057309D">
        <w:rPr>
          <w:b/>
          <w:bCs/>
          <w:sz w:val="22"/>
          <w:szCs w:val="22"/>
        </w:rPr>
        <w:br/>
      </w:r>
      <w:r w:rsidR="000251AB" w:rsidRPr="0057309D">
        <w:rPr>
          <w:bCs/>
          <w:sz w:val="22"/>
          <w:szCs w:val="22"/>
        </w:rPr>
        <w:t>ul. Koszyka 23B/1, 45-720 Opole</w:t>
      </w:r>
      <w:r w:rsidR="000251AB" w:rsidRPr="0057309D">
        <w:rPr>
          <w:bCs/>
          <w:sz w:val="22"/>
          <w:szCs w:val="22"/>
        </w:rPr>
        <w:br/>
        <w:t>PESEL: 60010304178</w:t>
      </w:r>
      <w:r w:rsidR="000251AB" w:rsidRPr="0057309D">
        <w:rPr>
          <w:bCs/>
          <w:sz w:val="22"/>
          <w:szCs w:val="22"/>
        </w:rPr>
        <w:br/>
      </w:r>
      <w:r w:rsidR="000251AB" w:rsidRPr="0057309D">
        <w:rPr>
          <w:bCs/>
          <w:i/>
          <w:sz w:val="22"/>
          <w:szCs w:val="22"/>
        </w:rPr>
        <w:t xml:space="preserve">reprezentowany przez </w:t>
      </w:r>
      <w:r w:rsidR="000251AB" w:rsidRPr="0057309D">
        <w:rPr>
          <w:bCs/>
          <w:i/>
          <w:sz w:val="22"/>
          <w:szCs w:val="22"/>
        </w:rPr>
        <w:br/>
      </w:r>
      <w:r w:rsidR="000251AB" w:rsidRPr="0057309D">
        <w:rPr>
          <w:bCs/>
          <w:sz w:val="22"/>
          <w:szCs w:val="22"/>
        </w:rPr>
        <w:t xml:space="preserve">radcę prawnego </w:t>
      </w:r>
      <w:r w:rsidR="000251AB" w:rsidRPr="0057309D">
        <w:rPr>
          <w:b/>
          <w:bCs/>
          <w:sz w:val="22"/>
          <w:szCs w:val="22"/>
        </w:rPr>
        <w:t>Jakuba Ciborowskiego</w:t>
      </w:r>
      <w:r w:rsidR="000251AB" w:rsidRPr="0057309D">
        <w:rPr>
          <w:bCs/>
          <w:sz w:val="22"/>
          <w:szCs w:val="22"/>
        </w:rPr>
        <w:br/>
        <w:t>Kancelaria Radcy Prawnego</w:t>
      </w:r>
      <w:r w:rsidR="000251AB" w:rsidRPr="0057309D">
        <w:rPr>
          <w:bCs/>
          <w:sz w:val="22"/>
          <w:szCs w:val="22"/>
        </w:rPr>
        <w:br/>
        <w:t>ul. Starowiślna 83/5, 31-052 Kraków</w:t>
      </w:r>
      <w:r w:rsidR="000251AB" w:rsidRPr="0057309D">
        <w:rPr>
          <w:bCs/>
          <w:sz w:val="22"/>
          <w:szCs w:val="22"/>
        </w:rPr>
        <w:br/>
        <w:t xml:space="preserve">e-PUAP: </w:t>
      </w:r>
      <w:r w:rsidR="00B37361" w:rsidRPr="0057309D">
        <w:rPr>
          <w:bCs/>
          <w:sz w:val="22"/>
          <w:szCs w:val="22"/>
        </w:rPr>
        <w:t>/</w:t>
      </w:r>
      <w:r w:rsidR="000251AB" w:rsidRPr="0057309D">
        <w:rPr>
          <w:bCs/>
          <w:sz w:val="22"/>
          <w:szCs w:val="22"/>
        </w:rPr>
        <w:t>ciboro1</w:t>
      </w:r>
      <w:r w:rsidR="00B37361" w:rsidRPr="0057309D">
        <w:rPr>
          <w:bCs/>
          <w:sz w:val="22"/>
          <w:szCs w:val="22"/>
        </w:rPr>
        <w:t>/</w:t>
      </w:r>
    </w:p>
    <w:p w14:paraId="5BF2872F" w14:textId="77777777" w:rsidR="006E76EC" w:rsidRPr="0057309D" w:rsidRDefault="00586054" w:rsidP="002D5DC0">
      <w:pPr>
        <w:spacing w:line="276" w:lineRule="auto"/>
        <w:ind w:left="4536"/>
        <w:rPr>
          <w:b/>
          <w:bCs/>
          <w:sz w:val="22"/>
          <w:szCs w:val="22"/>
        </w:rPr>
      </w:pPr>
      <w:r w:rsidRPr="0057309D">
        <w:rPr>
          <w:b/>
          <w:bCs/>
          <w:sz w:val="22"/>
          <w:szCs w:val="22"/>
        </w:rPr>
        <w:t>Pan Piotr Patkowski</w:t>
      </w:r>
      <w:r w:rsidRPr="0057309D">
        <w:rPr>
          <w:b/>
          <w:bCs/>
          <w:sz w:val="22"/>
          <w:szCs w:val="22"/>
        </w:rPr>
        <w:br/>
        <w:t>Podsekretarz Stanu</w:t>
      </w:r>
      <w:r w:rsidRPr="0057309D">
        <w:rPr>
          <w:b/>
          <w:bCs/>
          <w:sz w:val="22"/>
          <w:szCs w:val="22"/>
        </w:rPr>
        <w:br/>
      </w:r>
      <w:r w:rsidR="00564D49" w:rsidRPr="0057309D">
        <w:rPr>
          <w:b/>
          <w:bCs/>
          <w:sz w:val="22"/>
          <w:szCs w:val="22"/>
        </w:rPr>
        <w:t>Ministerstwo Finansów</w:t>
      </w:r>
      <w:r w:rsidR="00564D49" w:rsidRPr="0057309D">
        <w:rPr>
          <w:b/>
          <w:bCs/>
          <w:sz w:val="22"/>
          <w:szCs w:val="22"/>
        </w:rPr>
        <w:br/>
      </w:r>
      <w:r w:rsidR="00564D49" w:rsidRPr="0057309D">
        <w:rPr>
          <w:sz w:val="22"/>
          <w:szCs w:val="22"/>
        </w:rPr>
        <w:t>ul. Świętokrzyska 12</w:t>
      </w:r>
      <w:r w:rsidRPr="0057309D">
        <w:rPr>
          <w:sz w:val="22"/>
          <w:szCs w:val="22"/>
        </w:rPr>
        <w:t xml:space="preserve">, </w:t>
      </w:r>
      <w:r w:rsidR="00564D49" w:rsidRPr="0057309D">
        <w:rPr>
          <w:sz w:val="22"/>
          <w:szCs w:val="22"/>
        </w:rPr>
        <w:t>00-916 Warszawa</w:t>
      </w:r>
      <w:r w:rsidR="00841B22" w:rsidRPr="0057309D">
        <w:rPr>
          <w:sz w:val="22"/>
          <w:szCs w:val="22"/>
        </w:rPr>
        <w:br/>
        <w:t>e-PUAP:  /bx1qpt265q/skrytka</w:t>
      </w:r>
    </w:p>
    <w:p w14:paraId="0238EBCC" w14:textId="77777777" w:rsidR="00554DF9" w:rsidRPr="0057309D" w:rsidRDefault="006E76EC" w:rsidP="002D5DC0">
      <w:pPr>
        <w:spacing w:line="276" w:lineRule="auto"/>
        <w:ind w:left="4536"/>
        <w:rPr>
          <w:sz w:val="22"/>
          <w:szCs w:val="22"/>
        </w:rPr>
      </w:pPr>
      <w:r w:rsidRPr="0057309D">
        <w:rPr>
          <w:b/>
          <w:bCs/>
          <w:sz w:val="22"/>
          <w:szCs w:val="22"/>
        </w:rPr>
        <w:br/>
      </w:r>
    </w:p>
    <w:p w14:paraId="5CBA9CCB" w14:textId="77777777" w:rsidR="006E76EC" w:rsidRPr="0057309D" w:rsidRDefault="006E76EC" w:rsidP="002D5DC0">
      <w:pPr>
        <w:spacing w:line="276" w:lineRule="auto"/>
        <w:jc w:val="center"/>
        <w:rPr>
          <w:b/>
          <w:sz w:val="22"/>
          <w:szCs w:val="22"/>
          <w:u w:val="single"/>
        </w:rPr>
      </w:pPr>
      <w:r w:rsidRPr="0057309D">
        <w:rPr>
          <w:b/>
          <w:sz w:val="22"/>
          <w:szCs w:val="22"/>
          <w:u w:val="single"/>
        </w:rPr>
        <w:t>PETYCJA</w:t>
      </w:r>
    </w:p>
    <w:p w14:paraId="7E1DED9D" w14:textId="77777777" w:rsidR="00557273" w:rsidRPr="0057309D" w:rsidRDefault="008F1053" w:rsidP="002D5DC0">
      <w:pPr>
        <w:pStyle w:val="NormalnyWeb"/>
        <w:spacing w:line="276" w:lineRule="auto"/>
        <w:jc w:val="both"/>
        <w:rPr>
          <w:sz w:val="22"/>
          <w:szCs w:val="22"/>
        </w:rPr>
      </w:pPr>
      <w:r w:rsidRPr="0057309D">
        <w:rPr>
          <w:rFonts w:eastAsia="Calibri"/>
          <w:sz w:val="22"/>
          <w:szCs w:val="22"/>
        </w:rPr>
        <w:t>Działając w imieniu Daniela Olechnowicza – Przewodniczącego Porozumienia Akcjonariuszy Spółki Akcyjnej Elektrim</w:t>
      </w:r>
      <w:r w:rsidR="00976612" w:rsidRPr="0057309D">
        <w:rPr>
          <w:rFonts w:eastAsia="Calibri"/>
          <w:sz w:val="22"/>
          <w:szCs w:val="22"/>
        </w:rPr>
        <w:t xml:space="preserve"> (dalej zwanego „Porozumieniem”)</w:t>
      </w:r>
      <w:r w:rsidR="001B5E61" w:rsidRPr="0057309D">
        <w:rPr>
          <w:sz w:val="22"/>
          <w:szCs w:val="22"/>
        </w:rPr>
        <w:t xml:space="preserve">, </w:t>
      </w:r>
      <w:r w:rsidR="00F80F83" w:rsidRPr="0057309D">
        <w:rPr>
          <w:sz w:val="22"/>
          <w:szCs w:val="22"/>
        </w:rPr>
        <w:t>mając na uwadze prowadz</w:t>
      </w:r>
      <w:r w:rsidR="009D4A6F" w:rsidRPr="0057309D">
        <w:rPr>
          <w:sz w:val="22"/>
          <w:szCs w:val="22"/>
        </w:rPr>
        <w:t>on</w:t>
      </w:r>
      <w:r w:rsidR="00F80F83" w:rsidRPr="0057309D">
        <w:rPr>
          <w:sz w:val="22"/>
          <w:szCs w:val="22"/>
        </w:rPr>
        <w:t>e</w:t>
      </w:r>
      <w:r w:rsidR="001B5E61" w:rsidRPr="0057309D">
        <w:rPr>
          <w:sz w:val="22"/>
          <w:szCs w:val="22"/>
        </w:rPr>
        <w:t xml:space="preserve"> przez Ministerstwo Finansów </w:t>
      </w:r>
      <w:r w:rsidR="00F80F83" w:rsidRPr="0057309D">
        <w:rPr>
          <w:sz w:val="22"/>
          <w:szCs w:val="22"/>
        </w:rPr>
        <w:t>prace</w:t>
      </w:r>
      <w:r w:rsidR="003A7101" w:rsidRPr="0057309D">
        <w:rPr>
          <w:sz w:val="22"/>
          <w:szCs w:val="22"/>
        </w:rPr>
        <w:t xml:space="preserve"> legislacyjn</w:t>
      </w:r>
      <w:r w:rsidR="00F80F83" w:rsidRPr="0057309D">
        <w:rPr>
          <w:sz w:val="22"/>
          <w:szCs w:val="22"/>
        </w:rPr>
        <w:t>e</w:t>
      </w:r>
      <w:r w:rsidR="003A7101" w:rsidRPr="0057309D">
        <w:rPr>
          <w:sz w:val="22"/>
          <w:szCs w:val="22"/>
        </w:rPr>
        <w:t xml:space="preserve"> </w:t>
      </w:r>
      <w:r w:rsidR="006023F3" w:rsidRPr="0057309D">
        <w:rPr>
          <w:sz w:val="22"/>
          <w:szCs w:val="22"/>
        </w:rPr>
        <w:t>dotycząc</w:t>
      </w:r>
      <w:r w:rsidR="00F80F83" w:rsidRPr="0057309D">
        <w:rPr>
          <w:sz w:val="22"/>
          <w:szCs w:val="22"/>
        </w:rPr>
        <w:t>e</w:t>
      </w:r>
      <w:r w:rsidR="006023F3" w:rsidRPr="0057309D">
        <w:rPr>
          <w:sz w:val="22"/>
          <w:szCs w:val="22"/>
        </w:rPr>
        <w:t xml:space="preserve"> projektu ustawy o zmianie niektórych ustaw w związku z zapewnieniem rozwoju rynku finansowego oraz ochrony inwestorów na tym rynku</w:t>
      </w:r>
      <w:r w:rsidR="00976612" w:rsidRPr="0057309D">
        <w:rPr>
          <w:sz w:val="22"/>
          <w:szCs w:val="22"/>
        </w:rPr>
        <w:t xml:space="preserve"> oznaczonych numerem wykazu</w:t>
      </w:r>
      <w:r w:rsidR="00E0268D" w:rsidRPr="0057309D">
        <w:rPr>
          <w:sz w:val="22"/>
          <w:szCs w:val="22"/>
        </w:rPr>
        <w:t xml:space="preserve"> prac </w:t>
      </w:r>
      <w:r w:rsidR="00976612" w:rsidRPr="0057309D">
        <w:rPr>
          <w:sz w:val="22"/>
          <w:szCs w:val="22"/>
        </w:rPr>
        <w:t>UD235, poniżej przedstawiam stanowisko</w:t>
      </w:r>
      <w:r w:rsidR="00EE1F1C" w:rsidRPr="0057309D">
        <w:rPr>
          <w:sz w:val="22"/>
          <w:szCs w:val="22"/>
        </w:rPr>
        <w:t xml:space="preserve"> i postulaty</w:t>
      </w:r>
      <w:r w:rsidR="00976612" w:rsidRPr="0057309D">
        <w:rPr>
          <w:sz w:val="22"/>
          <w:szCs w:val="22"/>
        </w:rPr>
        <w:t xml:space="preserve"> Porozumienia</w:t>
      </w:r>
      <w:r w:rsidR="003B3D23" w:rsidRPr="0057309D">
        <w:rPr>
          <w:sz w:val="22"/>
          <w:szCs w:val="22"/>
        </w:rPr>
        <w:t xml:space="preserve"> związane z projektem ustawy.</w:t>
      </w:r>
    </w:p>
    <w:p w14:paraId="5D319705" w14:textId="77777777" w:rsidR="00A91468" w:rsidRPr="0057309D" w:rsidRDefault="00005851" w:rsidP="002D5DC0">
      <w:pPr>
        <w:pStyle w:val="Akapitzlist"/>
        <w:ind w:left="0"/>
        <w:jc w:val="both"/>
        <w:rPr>
          <w:rFonts w:ascii="Times New Roman" w:hAnsi="Times New Roman" w:cs="Times New Roman"/>
        </w:rPr>
      </w:pPr>
      <w:r w:rsidRPr="0057309D">
        <w:rPr>
          <w:rFonts w:ascii="Times New Roman" w:hAnsi="Times New Roman" w:cs="Times New Roman"/>
          <w:b/>
          <w:bCs/>
        </w:rPr>
        <w:t xml:space="preserve">1. </w:t>
      </w:r>
      <w:r w:rsidR="00BF711B" w:rsidRPr="0057309D">
        <w:rPr>
          <w:rFonts w:ascii="Times New Roman" w:hAnsi="Times New Roman" w:cs="Times New Roman"/>
        </w:rPr>
        <w:t>Daniel Olechnowicz</w:t>
      </w:r>
      <w:r w:rsidR="00A91468" w:rsidRPr="0057309D">
        <w:rPr>
          <w:rFonts w:ascii="Times New Roman" w:hAnsi="Times New Roman" w:cs="Times New Roman"/>
        </w:rPr>
        <w:t xml:space="preserve"> jest akcjonariuszem mniejszościowym spółki pod firmą Elektrim S.A. z siedzibą w Warszawie (zwanej w dalszej części pisma również „Spółk</w:t>
      </w:r>
      <w:r w:rsidR="004B2463" w:rsidRPr="0057309D">
        <w:rPr>
          <w:rFonts w:ascii="Times New Roman" w:hAnsi="Times New Roman" w:cs="Times New Roman"/>
        </w:rPr>
        <w:t>ą</w:t>
      </w:r>
      <w:r w:rsidR="00A91468" w:rsidRPr="0057309D">
        <w:rPr>
          <w:rFonts w:ascii="Times New Roman" w:hAnsi="Times New Roman" w:cs="Times New Roman"/>
        </w:rPr>
        <w:t xml:space="preserve">”) posiadającym osobiście 7602 udziały. Ponadto </w:t>
      </w:r>
      <w:r w:rsidR="00BF711B" w:rsidRPr="0057309D">
        <w:rPr>
          <w:rFonts w:ascii="Times New Roman" w:hAnsi="Times New Roman" w:cs="Times New Roman"/>
        </w:rPr>
        <w:t>Daniel Olechnowicz pełni</w:t>
      </w:r>
      <w:r w:rsidR="00A91468" w:rsidRPr="0057309D">
        <w:rPr>
          <w:rFonts w:ascii="Times New Roman" w:hAnsi="Times New Roman" w:cs="Times New Roman"/>
          <w:bCs/>
        </w:rPr>
        <w:t xml:space="preserve"> również</w:t>
      </w:r>
      <w:r w:rsidR="00BF711B" w:rsidRPr="0057309D">
        <w:rPr>
          <w:rFonts w:ascii="Times New Roman" w:hAnsi="Times New Roman" w:cs="Times New Roman"/>
          <w:bCs/>
        </w:rPr>
        <w:t xml:space="preserve"> funkcję</w:t>
      </w:r>
      <w:r w:rsidR="00A91468" w:rsidRPr="0057309D">
        <w:rPr>
          <w:rFonts w:ascii="Times New Roman" w:hAnsi="Times New Roman" w:cs="Times New Roman"/>
          <w:bCs/>
        </w:rPr>
        <w:t xml:space="preserve"> Przewodnicząc</w:t>
      </w:r>
      <w:r w:rsidR="00FD2FDB" w:rsidRPr="0057309D">
        <w:rPr>
          <w:rFonts w:ascii="Times New Roman" w:hAnsi="Times New Roman" w:cs="Times New Roman"/>
          <w:bCs/>
        </w:rPr>
        <w:t>eg</w:t>
      </w:r>
      <w:r w:rsidR="00BF711B" w:rsidRPr="0057309D">
        <w:rPr>
          <w:rFonts w:ascii="Times New Roman" w:hAnsi="Times New Roman" w:cs="Times New Roman"/>
          <w:bCs/>
        </w:rPr>
        <w:t>o</w:t>
      </w:r>
      <w:r w:rsidR="00A91468" w:rsidRPr="0057309D">
        <w:rPr>
          <w:rFonts w:ascii="Times New Roman" w:hAnsi="Times New Roman" w:cs="Times New Roman"/>
          <w:bCs/>
        </w:rPr>
        <w:t xml:space="preserve"> Porozumienia Akcjonariuszy Spółki Akcyjnej Elektrim z siedzibą w Warszawie którego sygnatariuszami jest na chwilę obecną ponad </w:t>
      </w:r>
      <w:r w:rsidR="00BF711B" w:rsidRPr="0057309D">
        <w:rPr>
          <w:rFonts w:ascii="Times New Roman" w:hAnsi="Times New Roman" w:cs="Times New Roman"/>
          <w:bCs/>
        </w:rPr>
        <w:t xml:space="preserve">640 </w:t>
      </w:r>
      <w:r w:rsidR="00A91468" w:rsidRPr="0057309D">
        <w:rPr>
          <w:rFonts w:ascii="Times New Roman" w:hAnsi="Times New Roman" w:cs="Times New Roman"/>
          <w:bCs/>
        </w:rPr>
        <w:t>akcjonariuszy Spółki skupiających ponad 5%</w:t>
      </w:r>
      <w:r w:rsidR="00AE4AA1" w:rsidRPr="0057309D">
        <w:rPr>
          <w:rFonts w:ascii="Times New Roman" w:hAnsi="Times New Roman" w:cs="Times New Roman"/>
          <w:bCs/>
        </w:rPr>
        <w:t xml:space="preserve"> jej</w:t>
      </w:r>
      <w:r w:rsidR="00A91468" w:rsidRPr="0057309D">
        <w:rPr>
          <w:rFonts w:ascii="Times New Roman" w:hAnsi="Times New Roman" w:cs="Times New Roman"/>
          <w:bCs/>
        </w:rPr>
        <w:t xml:space="preserve"> kapitału zakładowego.</w:t>
      </w:r>
    </w:p>
    <w:p w14:paraId="527B85BD" w14:textId="77777777" w:rsidR="00A91468" w:rsidRPr="0057309D" w:rsidRDefault="00A91468" w:rsidP="002D5DC0">
      <w:pPr>
        <w:pStyle w:val="Akapitzlist"/>
        <w:ind w:left="0"/>
        <w:jc w:val="both"/>
        <w:rPr>
          <w:rFonts w:ascii="Times New Roman" w:hAnsi="Times New Roman" w:cs="Times New Roman"/>
        </w:rPr>
      </w:pPr>
    </w:p>
    <w:p w14:paraId="67C68537" w14:textId="77777777" w:rsidR="00A91468" w:rsidRPr="0057309D" w:rsidRDefault="00A91468" w:rsidP="002D5DC0">
      <w:pPr>
        <w:pStyle w:val="Akapitzlist"/>
        <w:ind w:left="0"/>
        <w:jc w:val="both"/>
        <w:rPr>
          <w:rFonts w:ascii="Times New Roman" w:hAnsi="Times New Roman" w:cs="Times New Roman"/>
        </w:rPr>
      </w:pPr>
      <w:r w:rsidRPr="0057309D">
        <w:rPr>
          <w:rFonts w:ascii="Times New Roman" w:hAnsi="Times New Roman" w:cs="Times New Roman"/>
        </w:rPr>
        <w:t xml:space="preserve">Porozumienie powstało jako konsekwencja działań podejmowanych przez zarząd Spółki oraz akcjonariusza większościowego Spółki, które to działania w ocenie sygnatariuszy Porozumienia były i są realizowane z naruszeniem interesów zarówno Spółki, jak też akcjonariuszy mniejszościowych. Celem Porozumienia jest przy tym prowadzenie spójnej i konsekwentnej polityki wobec Spółki mającej na celu ochronę interesów akcjonariuszy mniejszościowych i samej Spółki, przede wszystkim poprzez nadzorowanie ewentualnych nieprawidłowości w Spółce oraz doprowadzenie do rzetelnej wyceny wartości majątku Spółki. </w:t>
      </w:r>
    </w:p>
    <w:p w14:paraId="45F17BDA" w14:textId="77777777" w:rsidR="00A91468" w:rsidRPr="0057309D" w:rsidRDefault="00A91468" w:rsidP="002D5DC0">
      <w:pPr>
        <w:pStyle w:val="Akapitzlist"/>
        <w:ind w:left="0"/>
        <w:jc w:val="both"/>
        <w:rPr>
          <w:rFonts w:ascii="Times New Roman" w:hAnsi="Times New Roman" w:cs="Times New Roman"/>
        </w:rPr>
      </w:pPr>
    </w:p>
    <w:p w14:paraId="5C29311C" w14:textId="77777777" w:rsidR="003953F8" w:rsidRPr="0057309D" w:rsidRDefault="00A91468" w:rsidP="002D5DC0">
      <w:pPr>
        <w:pStyle w:val="Akapitzlist"/>
        <w:ind w:left="0"/>
        <w:jc w:val="both"/>
        <w:rPr>
          <w:rFonts w:ascii="Times New Roman" w:hAnsi="Times New Roman" w:cs="Times New Roman"/>
          <w:bCs/>
        </w:rPr>
      </w:pPr>
      <w:r w:rsidRPr="0057309D">
        <w:rPr>
          <w:rFonts w:ascii="Times New Roman" w:hAnsi="Times New Roman" w:cs="Times New Roman"/>
          <w:bCs/>
        </w:rPr>
        <w:t>Porozumienie akcjonariuszy jako instytucja oparta o stosunek obligacyjny nie</w:t>
      </w:r>
      <w:r w:rsidR="00FD2FDB" w:rsidRPr="0057309D">
        <w:rPr>
          <w:rFonts w:ascii="Times New Roman" w:hAnsi="Times New Roman" w:cs="Times New Roman"/>
          <w:bCs/>
        </w:rPr>
        <w:t xml:space="preserve"> jest jednak podmiotem zdolnym do</w:t>
      </w:r>
      <w:r w:rsidR="006D091D" w:rsidRPr="0057309D">
        <w:rPr>
          <w:rFonts w:ascii="Times New Roman" w:hAnsi="Times New Roman" w:cs="Times New Roman"/>
          <w:bCs/>
        </w:rPr>
        <w:t xml:space="preserve"> samodzielnych</w:t>
      </w:r>
      <w:r w:rsidR="00FD2FDB" w:rsidRPr="0057309D">
        <w:rPr>
          <w:rFonts w:ascii="Times New Roman" w:hAnsi="Times New Roman" w:cs="Times New Roman"/>
          <w:bCs/>
        </w:rPr>
        <w:t xml:space="preserve"> czynności prawnych</w:t>
      </w:r>
      <w:r w:rsidR="00A62451" w:rsidRPr="0057309D">
        <w:rPr>
          <w:rFonts w:ascii="Times New Roman" w:hAnsi="Times New Roman" w:cs="Times New Roman"/>
          <w:bCs/>
        </w:rPr>
        <w:t xml:space="preserve">, w tym do </w:t>
      </w:r>
      <w:r w:rsidR="00CF4E85" w:rsidRPr="0057309D">
        <w:rPr>
          <w:rFonts w:ascii="Times New Roman" w:hAnsi="Times New Roman" w:cs="Times New Roman"/>
          <w:bCs/>
        </w:rPr>
        <w:t>kierowania petycji, skarg czy wniosków</w:t>
      </w:r>
      <w:r w:rsidRPr="0057309D">
        <w:rPr>
          <w:rFonts w:ascii="Times New Roman" w:hAnsi="Times New Roman" w:cs="Times New Roman"/>
          <w:bCs/>
        </w:rPr>
        <w:t xml:space="preserve">. Stąd też </w:t>
      </w:r>
      <w:r w:rsidR="004C4D64" w:rsidRPr="0057309D">
        <w:rPr>
          <w:rFonts w:ascii="Times New Roman" w:hAnsi="Times New Roman" w:cs="Times New Roman"/>
          <w:bCs/>
        </w:rPr>
        <w:t>Daniel Olechnowicz</w:t>
      </w:r>
      <w:r w:rsidRPr="0057309D">
        <w:rPr>
          <w:rFonts w:ascii="Times New Roman" w:hAnsi="Times New Roman" w:cs="Times New Roman"/>
          <w:bCs/>
        </w:rPr>
        <w:t xml:space="preserve"> </w:t>
      </w:r>
      <w:r w:rsidR="004C4D64" w:rsidRPr="0057309D">
        <w:rPr>
          <w:rFonts w:ascii="Times New Roman" w:hAnsi="Times New Roman" w:cs="Times New Roman"/>
          <w:bCs/>
        </w:rPr>
        <w:t>składając niniejszą petycją działa nie tylko</w:t>
      </w:r>
      <w:r w:rsidRPr="0057309D">
        <w:rPr>
          <w:rFonts w:ascii="Times New Roman" w:hAnsi="Times New Roman" w:cs="Times New Roman"/>
          <w:bCs/>
        </w:rPr>
        <w:t xml:space="preserve"> w imieniu własnym, ale </w:t>
      </w:r>
      <w:r w:rsidR="004C4D64" w:rsidRPr="0057309D">
        <w:rPr>
          <w:rFonts w:ascii="Times New Roman" w:hAnsi="Times New Roman" w:cs="Times New Roman"/>
          <w:bCs/>
        </w:rPr>
        <w:lastRenderedPageBreak/>
        <w:t>przede wszystkim na</w:t>
      </w:r>
      <w:r w:rsidRPr="0057309D">
        <w:rPr>
          <w:rFonts w:ascii="Times New Roman" w:hAnsi="Times New Roman" w:cs="Times New Roman"/>
          <w:bCs/>
        </w:rPr>
        <w:t xml:space="preserve"> rzecz akcjonariuszy</w:t>
      </w:r>
      <w:r w:rsidR="00145628" w:rsidRPr="0057309D">
        <w:rPr>
          <w:rFonts w:ascii="Times New Roman" w:hAnsi="Times New Roman" w:cs="Times New Roman"/>
          <w:bCs/>
        </w:rPr>
        <w:t xml:space="preserve"> mniejszościowych</w:t>
      </w:r>
      <w:r w:rsidRPr="0057309D">
        <w:rPr>
          <w:rFonts w:ascii="Times New Roman" w:hAnsi="Times New Roman" w:cs="Times New Roman"/>
          <w:bCs/>
        </w:rPr>
        <w:t xml:space="preserve"> Elektrim S.A. będących sygnatariuszami Porozumienia. </w:t>
      </w:r>
    </w:p>
    <w:p w14:paraId="334DF3FC" w14:textId="77777777" w:rsidR="00BC2135" w:rsidRPr="0057309D" w:rsidRDefault="003953F8" w:rsidP="002D5DC0">
      <w:pPr>
        <w:pStyle w:val="NormalnyWeb"/>
        <w:spacing w:line="276" w:lineRule="auto"/>
        <w:jc w:val="both"/>
        <w:rPr>
          <w:sz w:val="22"/>
          <w:szCs w:val="22"/>
        </w:rPr>
      </w:pPr>
      <w:r w:rsidRPr="0057309D">
        <w:rPr>
          <w:b/>
          <w:bCs/>
          <w:sz w:val="22"/>
          <w:szCs w:val="22"/>
        </w:rPr>
        <w:t xml:space="preserve">2. </w:t>
      </w:r>
      <w:r w:rsidR="00CB6F45" w:rsidRPr="0057309D">
        <w:rPr>
          <w:sz w:val="22"/>
          <w:szCs w:val="22"/>
        </w:rPr>
        <w:t xml:space="preserve">Deklarowanym przez projektodawcę celem </w:t>
      </w:r>
      <w:r w:rsidR="00005851" w:rsidRPr="0057309D">
        <w:rPr>
          <w:sz w:val="22"/>
          <w:szCs w:val="22"/>
        </w:rPr>
        <w:t xml:space="preserve">przygotowywanej </w:t>
      </w:r>
      <w:r w:rsidR="002D3B46" w:rsidRPr="0057309D">
        <w:rPr>
          <w:sz w:val="22"/>
          <w:szCs w:val="22"/>
        </w:rPr>
        <w:t xml:space="preserve">obecnie </w:t>
      </w:r>
      <w:r w:rsidR="00005851" w:rsidRPr="0057309D">
        <w:rPr>
          <w:sz w:val="22"/>
          <w:szCs w:val="22"/>
        </w:rPr>
        <w:t>ustawy</w:t>
      </w:r>
      <w:r w:rsidR="00F27C53" w:rsidRPr="0057309D">
        <w:rPr>
          <w:sz w:val="22"/>
          <w:szCs w:val="22"/>
        </w:rPr>
        <w:t xml:space="preserve"> o zmianie niektórych ustaw w związku z zapewnieniem rozwoju rynku finansowego oraz ochrony inwestorów na tym rynku</w:t>
      </w:r>
      <w:r w:rsidR="00CB6F45" w:rsidRPr="0057309D">
        <w:rPr>
          <w:sz w:val="22"/>
          <w:szCs w:val="22"/>
        </w:rPr>
        <w:t xml:space="preserve"> pozostaje </w:t>
      </w:r>
      <w:r w:rsidR="004244BC" w:rsidRPr="0057309D">
        <w:rPr>
          <w:sz w:val="22"/>
          <w:szCs w:val="22"/>
        </w:rPr>
        <w:t>zapewnienie rozwoju rynku finansowego oraz ochrony inwestorów na tym rynku</w:t>
      </w:r>
      <w:r w:rsidR="00FC27E3" w:rsidRPr="0057309D">
        <w:rPr>
          <w:sz w:val="22"/>
          <w:szCs w:val="22"/>
        </w:rPr>
        <w:t>, w tym w szczególności</w:t>
      </w:r>
      <w:r w:rsidR="00BC2135" w:rsidRPr="0057309D">
        <w:rPr>
          <w:sz w:val="22"/>
          <w:szCs w:val="22"/>
        </w:rPr>
        <w:t xml:space="preserve"> ochrony akcjonariuszy mniejszościowych</w:t>
      </w:r>
      <w:r w:rsidR="00005851" w:rsidRPr="0057309D">
        <w:rPr>
          <w:sz w:val="22"/>
          <w:szCs w:val="22"/>
        </w:rPr>
        <w:t>.</w:t>
      </w:r>
    </w:p>
    <w:p w14:paraId="5095EB34" w14:textId="77777777" w:rsidR="00483131" w:rsidRPr="0057309D" w:rsidRDefault="006242FE" w:rsidP="002D5DC0">
      <w:pPr>
        <w:pStyle w:val="NormalnyWeb"/>
        <w:spacing w:line="276" w:lineRule="auto"/>
        <w:jc w:val="both"/>
        <w:rPr>
          <w:sz w:val="22"/>
          <w:szCs w:val="22"/>
        </w:rPr>
      </w:pPr>
      <w:r w:rsidRPr="0057309D">
        <w:rPr>
          <w:sz w:val="22"/>
          <w:szCs w:val="22"/>
        </w:rPr>
        <w:t xml:space="preserve">Jednym </w:t>
      </w:r>
      <w:r w:rsidR="007237CF" w:rsidRPr="0057309D">
        <w:rPr>
          <w:sz w:val="22"/>
          <w:szCs w:val="22"/>
        </w:rPr>
        <w:t xml:space="preserve">z </w:t>
      </w:r>
      <w:r w:rsidRPr="0057309D">
        <w:rPr>
          <w:sz w:val="22"/>
          <w:szCs w:val="22"/>
        </w:rPr>
        <w:t>kluczowych założeń projektu pozostaje</w:t>
      </w:r>
      <w:r w:rsidR="00041094" w:rsidRPr="0057309D">
        <w:rPr>
          <w:sz w:val="22"/>
          <w:szCs w:val="22"/>
        </w:rPr>
        <w:t xml:space="preserve"> natomiast poprawienie funkcjonowania instytucji wezwań do zapisywania się na</w:t>
      </w:r>
      <w:r w:rsidR="00E201EE" w:rsidRPr="0057309D">
        <w:rPr>
          <w:sz w:val="22"/>
          <w:szCs w:val="22"/>
        </w:rPr>
        <w:t xml:space="preserve"> </w:t>
      </w:r>
      <w:r w:rsidR="00041094" w:rsidRPr="0057309D">
        <w:rPr>
          <w:sz w:val="22"/>
          <w:szCs w:val="22"/>
        </w:rPr>
        <w:t>sprzedaż</w:t>
      </w:r>
      <w:r w:rsidR="00E201EE" w:rsidRPr="0057309D">
        <w:rPr>
          <w:sz w:val="22"/>
          <w:szCs w:val="22"/>
        </w:rPr>
        <w:t xml:space="preserve"> </w:t>
      </w:r>
      <w:r w:rsidR="00041094" w:rsidRPr="0057309D">
        <w:rPr>
          <w:sz w:val="22"/>
          <w:szCs w:val="22"/>
        </w:rPr>
        <w:t>lub</w:t>
      </w:r>
      <w:r w:rsidR="00E201EE" w:rsidRPr="0057309D">
        <w:rPr>
          <w:sz w:val="22"/>
          <w:szCs w:val="22"/>
        </w:rPr>
        <w:t xml:space="preserve"> </w:t>
      </w:r>
      <w:r w:rsidR="00041094" w:rsidRPr="0057309D">
        <w:rPr>
          <w:sz w:val="22"/>
          <w:szCs w:val="22"/>
        </w:rPr>
        <w:t>zamianę akcji spółek publicznych, w tym w szczególności zapewnienie pełniejszej ochrony akcjonariuszy mniejszościowych spółek publicznych</w:t>
      </w:r>
      <w:r w:rsidR="00252DBC" w:rsidRPr="0057309D">
        <w:rPr>
          <w:sz w:val="22"/>
          <w:szCs w:val="22"/>
        </w:rPr>
        <w:t>.</w:t>
      </w:r>
    </w:p>
    <w:p w14:paraId="226D0FDF" w14:textId="77777777" w:rsidR="000F48FA" w:rsidRPr="0057309D" w:rsidRDefault="00483131" w:rsidP="002D5DC0">
      <w:pPr>
        <w:pStyle w:val="NormalnyWeb"/>
        <w:spacing w:line="276" w:lineRule="auto"/>
        <w:jc w:val="both"/>
        <w:rPr>
          <w:sz w:val="22"/>
          <w:szCs w:val="22"/>
        </w:rPr>
      </w:pPr>
      <w:r w:rsidRPr="0057309D">
        <w:rPr>
          <w:sz w:val="22"/>
          <w:szCs w:val="22"/>
        </w:rPr>
        <w:t>Założenie to w szczególności znajduje odzwierciedlenie</w:t>
      </w:r>
      <w:r w:rsidR="006A404E" w:rsidRPr="0057309D">
        <w:rPr>
          <w:sz w:val="22"/>
          <w:szCs w:val="22"/>
        </w:rPr>
        <w:t xml:space="preserve"> w </w:t>
      </w:r>
      <w:r w:rsidR="00711394" w:rsidRPr="0057309D">
        <w:rPr>
          <w:sz w:val="22"/>
          <w:szCs w:val="22"/>
        </w:rPr>
        <w:t xml:space="preserve">przepisach, które prowadzą do ujednolicenia progów procentowych do zapisywania się na sprzedaż lub zamianę wszystkich akcji. </w:t>
      </w:r>
    </w:p>
    <w:p w14:paraId="4D0699A7" w14:textId="77777777" w:rsidR="003B3D23" w:rsidRPr="0057309D" w:rsidRDefault="000F48FA" w:rsidP="002D5DC0">
      <w:pPr>
        <w:pStyle w:val="NormalnyWeb"/>
        <w:spacing w:line="276" w:lineRule="auto"/>
        <w:jc w:val="both"/>
        <w:rPr>
          <w:sz w:val="22"/>
          <w:szCs w:val="22"/>
        </w:rPr>
      </w:pPr>
      <w:r w:rsidRPr="0057309D">
        <w:rPr>
          <w:sz w:val="22"/>
          <w:szCs w:val="22"/>
        </w:rPr>
        <w:t>I</w:t>
      </w:r>
      <w:r w:rsidR="00711394" w:rsidRPr="0057309D">
        <w:rPr>
          <w:sz w:val="22"/>
          <w:szCs w:val="22"/>
        </w:rPr>
        <w:t>stotną propozycją zmian przewidzianą projektem jest</w:t>
      </w:r>
      <w:r w:rsidR="00001225" w:rsidRPr="0057309D">
        <w:rPr>
          <w:sz w:val="22"/>
          <w:szCs w:val="22"/>
        </w:rPr>
        <w:t xml:space="preserve"> również</w:t>
      </w:r>
      <w:r w:rsidR="00711394" w:rsidRPr="0057309D">
        <w:rPr>
          <w:sz w:val="22"/>
          <w:szCs w:val="22"/>
        </w:rPr>
        <w:t xml:space="preserve"> </w:t>
      </w:r>
      <w:r w:rsidR="00854250" w:rsidRPr="0057309D">
        <w:rPr>
          <w:sz w:val="22"/>
          <w:szCs w:val="22"/>
        </w:rPr>
        <w:t>wprowadzenie zobiektywizowanych przesłanek ustalenia ceny minimalnej w wezwaniu na akcje</w:t>
      </w:r>
      <w:r w:rsidR="00305D4B" w:rsidRPr="0057309D">
        <w:rPr>
          <w:sz w:val="22"/>
          <w:szCs w:val="22"/>
        </w:rPr>
        <w:t xml:space="preserve"> poprzez wprowadzenie obowiązku zlecenia wyceny niezależnej firmie audytorskiej na koszt emitenta</w:t>
      </w:r>
      <w:r w:rsidR="00A13F4D" w:rsidRPr="0057309D">
        <w:rPr>
          <w:sz w:val="22"/>
          <w:szCs w:val="22"/>
        </w:rPr>
        <w:t>, która to wycena będzie mogła po</w:t>
      </w:r>
      <w:r w:rsidR="007237CF" w:rsidRPr="0057309D">
        <w:rPr>
          <w:sz w:val="22"/>
          <w:szCs w:val="22"/>
        </w:rPr>
        <w:t>d</w:t>
      </w:r>
      <w:r w:rsidR="00A13F4D" w:rsidRPr="0057309D">
        <w:rPr>
          <w:sz w:val="22"/>
          <w:szCs w:val="22"/>
        </w:rPr>
        <w:t>legać weryfikacji na drodze sądowej.</w:t>
      </w:r>
      <w:r w:rsidRPr="0057309D">
        <w:rPr>
          <w:sz w:val="22"/>
          <w:szCs w:val="22"/>
        </w:rPr>
        <w:t xml:space="preserve"> </w:t>
      </w:r>
    </w:p>
    <w:p w14:paraId="11418BFD" w14:textId="77777777" w:rsidR="00562C84" w:rsidRPr="0057309D" w:rsidRDefault="000F48FA" w:rsidP="002D5DC0">
      <w:pPr>
        <w:pStyle w:val="NormalnyWeb"/>
        <w:spacing w:line="276" w:lineRule="auto"/>
        <w:jc w:val="both"/>
        <w:rPr>
          <w:sz w:val="22"/>
          <w:szCs w:val="22"/>
        </w:rPr>
      </w:pPr>
      <w:r w:rsidRPr="0057309D">
        <w:rPr>
          <w:sz w:val="22"/>
          <w:szCs w:val="22"/>
        </w:rPr>
        <w:t xml:space="preserve">Uwagę zwrócić również należy na co do zasady słuszne zmiany w zakresie sposobu ustalenia ceny akcji spółek o </w:t>
      </w:r>
      <w:r w:rsidR="001367D4" w:rsidRPr="0057309D">
        <w:rPr>
          <w:sz w:val="22"/>
          <w:szCs w:val="22"/>
        </w:rPr>
        <w:t xml:space="preserve">istotnie </w:t>
      </w:r>
      <w:r w:rsidRPr="0057309D">
        <w:rPr>
          <w:sz w:val="22"/>
          <w:szCs w:val="22"/>
        </w:rPr>
        <w:t>ograniczonej płynności</w:t>
      </w:r>
      <w:r w:rsidR="002F2AEE" w:rsidRPr="0057309D">
        <w:rPr>
          <w:sz w:val="22"/>
          <w:szCs w:val="22"/>
        </w:rPr>
        <w:t>.</w:t>
      </w:r>
    </w:p>
    <w:p w14:paraId="1AA4271A" w14:textId="77777777" w:rsidR="00C4614D" w:rsidRPr="0057309D" w:rsidRDefault="00460416" w:rsidP="002D5DC0">
      <w:pPr>
        <w:pStyle w:val="NormalnyWeb"/>
        <w:spacing w:line="276" w:lineRule="auto"/>
        <w:jc w:val="both"/>
        <w:rPr>
          <w:sz w:val="22"/>
          <w:szCs w:val="22"/>
        </w:rPr>
      </w:pPr>
      <w:r w:rsidRPr="0057309D">
        <w:rPr>
          <w:b/>
          <w:bCs/>
          <w:sz w:val="22"/>
          <w:szCs w:val="22"/>
        </w:rPr>
        <w:t>3</w:t>
      </w:r>
      <w:r w:rsidR="00562C84" w:rsidRPr="0057309D">
        <w:rPr>
          <w:b/>
          <w:bCs/>
          <w:sz w:val="22"/>
          <w:szCs w:val="22"/>
        </w:rPr>
        <w:t xml:space="preserve">. </w:t>
      </w:r>
      <w:r w:rsidR="003F7376" w:rsidRPr="0057309D">
        <w:rPr>
          <w:sz w:val="22"/>
          <w:szCs w:val="22"/>
        </w:rPr>
        <w:t>Co do zasady p</w:t>
      </w:r>
      <w:r w:rsidR="00A27F9A" w:rsidRPr="0057309D">
        <w:rPr>
          <w:sz w:val="22"/>
          <w:szCs w:val="22"/>
        </w:rPr>
        <w:t xml:space="preserve">ozytywnie oceniając powyższe </w:t>
      </w:r>
      <w:r w:rsidR="00801220" w:rsidRPr="0057309D">
        <w:rPr>
          <w:sz w:val="22"/>
          <w:szCs w:val="22"/>
        </w:rPr>
        <w:t>założenia legislacyjne</w:t>
      </w:r>
      <w:r w:rsidR="00FE2358" w:rsidRPr="0057309D">
        <w:rPr>
          <w:sz w:val="22"/>
          <w:szCs w:val="22"/>
        </w:rPr>
        <w:t xml:space="preserve"> zmierzające do poprawienia sytuacji inwestorów indywidualnych</w:t>
      </w:r>
      <w:r w:rsidR="00A27F9A" w:rsidRPr="0057309D">
        <w:rPr>
          <w:sz w:val="22"/>
          <w:szCs w:val="22"/>
        </w:rPr>
        <w:t xml:space="preserve"> – wskazać należy, iż proponowane zmiany</w:t>
      </w:r>
      <w:r w:rsidR="00801220" w:rsidRPr="0057309D">
        <w:rPr>
          <w:sz w:val="22"/>
          <w:szCs w:val="22"/>
        </w:rPr>
        <w:t xml:space="preserve"> </w:t>
      </w:r>
      <w:r w:rsidR="009D280A" w:rsidRPr="0057309D">
        <w:rPr>
          <w:sz w:val="22"/>
          <w:szCs w:val="22"/>
        </w:rPr>
        <w:t xml:space="preserve">niestety nie </w:t>
      </w:r>
      <w:r w:rsidR="002203C8" w:rsidRPr="0057309D">
        <w:rPr>
          <w:sz w:val="22"/>
          <w:szCs w:val="22"/>
        </w:rPr>
        <w:t>do</w:t>
      </w:r>
      <w:r w:rsidR="009D280A" w:rsidRPr="0057309D">
        <w:rPr>
          <w:sz w:val="22"/>
          <w:szCs w:val="22"/>
        </w:rPr>
        <w:t>prowadzą do ustawowe</w:t>
      </w:r>
      <w:r w:rsidR="004B00F7" w:rsidRPr="0057309D">
        <w:rPr>
          <w:sz w:val="22"/>
          <w:szCs w:val="22"/>
        </w:rPr>
        <w:t>go</w:t>
      </w:r>
      <w:r w:rsidR="009D280A" w:rsidRPr="0057309D">
        <w:rPr>
          <w:sz w:val="22"/>
          <w:szCs w:val="22"/>
        </w:rPr>
        <w:t xml:space="preserve"> uregulowania</w:t>
      </w:r>
      <w:r w:rsidR="00801220" w:rsidRPr="0057309D">
        <w:rPr>
          <w:sz w:val="22"/>
          <w:szCs w:val="22"/>
        </w:rPr>
        <w:t xml:space="preserve"> </w:t>
      </w:r>
      <w:r w:rsidR="00B36F0E" w:rsidRPr="0057309D">
        <w:rPr>
          <w:sz w:val="22"/>
          <w:szCs w:val="22"/>
        </w:rPr>
        <w:t>przypadków</w:t>
      </w:r>
      <w:r w:rsidR="00801220" w:rsidRPr="0057309D">
        <w:rPr>
          <w:sz w:val="22"/>
          <w:szCs w:val="22"/>
        </w:rPr>
        <w:t xml:space="preserve">, w </w:t>
      </w:r>
      <w:r w:rsidR="006E0475" w:rsidRPr="0057309D">
        <w:rPr>
          <w:sz w:val="22"/>
          <w:szCs w:val="22"/>
        </w:rPr>
        <w:t xml:space="preserve">ramach </w:t>
      </w:r>
      <w:r w:rsidR="00801220" w:rsidRPr="0057309D">
        <w:rPr>
          <w:sz w:val="22"/>
          <w:szCs w:val="22"/>
        </w:rPr>
        <w:t>któr</w:t>
      </w:r>
      <w:r w:rsidR="00A15A7D" w:rsidRPr="0057309D">
        <w:rPr>
          <w:sz w:val="22"/>
          <w:szCs w:val="22"/>
        </w:rPr>
        <w:t>ych</w:t>
      </w:r>
      <w:r w:rsidR="00801220" w:rsidRPr="0057309D">
        <w:rPr>
          <w:sz w:val="22"/>
          <w:szCs w:val="22"/>
        </w:rPr>
        <w:t xml:space="preserve"> </w:t>
      </w:r>
      <w:r w:rsidR="00341ADC" w:rsidRPr="0057309D">
        <w:rPr>
          <w:sz w:val="22"/>
          <w:szCs w:val="22"/>
        </w:rPr>
        <w:t xml:space="preserve">w przeszłości </w:t>
      </w:r>
      <w:r w:rsidR="00A15A7D" w:rsidRPr="0057309D">
        <w:rPr>
          <w:sz w:val="22"/>
          <w:szCs w:val="22"/>
        </w:rPr>
        <w:t>dochodziło</w:t>
      </w:r>
      <w:r w:rsidR="00341ADC" w:rsidRPr="0057309D">
        <w:rPr>
          <w:sz w:val="22"/>
          <w:szCs w:val="22"/>
        </w:rPr>
        <w:t xml:space="preserve"> do wycofania akcji z publicznego obrotu</w:t>
      </w:r>
      <w:r w:rsidR="000D4D78" w:rsidRPr="0057309D">
        <w:rPr>
          <w:sz w:val="22"/>
          <w:szCs w:val="22"/>
        </w:rPr>
        <w:t xml:space="preserve">, zaś wezwanie na wykup akcji </w:t>
      </w:r>
      <w:r w:rsidR="0010092E" w:rsidRPr="0057309D">
        <w:rPr>
          <w:sz w:val="22"/>
          <w:szCs w:val="22"/>
        </w:rPr>
        <w:t>było</w:t>
      </w:r>
      <w:r w:rsidR="000D4D78" w:rsidRPr="0057309D">
        <w:rPr>
          <w:sz w:val="22"/>
          <w:szCs w:val="22"/>
        </w:rPr>
        <w:t xml:space="preserve"> realizowane </w:t>
      </w:r>
      <w:r w:rsidR="00341ADC" w:rsidRPr="0057309D">
        <w:rPr>
          <w:sz w:val="22"/>
          <w:szCs w:val="22"/>
        </w:rPr>
        <w:t xml:space="preserve">w oparciu o historycznie minimalne ceny akcji ukształtowane w sytuacji </w:t>
      </w:r>
      <w:r w:rsidR="00786A8A" w:rsidRPr="0057309D">
        <w:rPr>
          <w:sz w:val="22"/>
          <w:szCs w:val="22"/>
        </w:rPr>
        <w:t>niskiej płynności</w:t>
      </w:r>
      <w:r w:rsidR="00C97EA0" w:rsidRPr="0057309D">
        <w:rPr>
          <w:sz w:val="22"/>
          <w:szCs w:val="22"/>
        </w:rPr>
        <w:t xml:space="preserve"> obrotu giełdowego</w:t>
      </w:r>
      <w:r w:rsidR="004B00F7" w:rsidRPr="0057309D">
        <w:rPr>
          <w:sz w:val="22"/>
          <w:szCs w:val="22"/>
        </w:rPr>
        <w:t xml:space="preserve"> oraz </w:t>
      </w:r>
      <w:r w:rsidR="00C97EA0" w:rsidRPr="0057309D">
        <w:rPr>
          <w:sz w:val="22"/>
          <w:szCs w:val="22"/>
        </w:rPr>
        <w:t xml:space="preserve">przy jednoczesnej </w:t>
      </w:r>
      <w:r w:rsidR="00786A8A" w:rsidRPr="0057309D">
        <w:rPr>
          <w:sz w:val="22"/>
          <w:szCs w:val="22"/>
        </w:rPr>
        <w:t>złej sytuacji finansowej spółki</w:t>
      </w:r>
      <w:r w:rsidR="004B00F7" w:rsidRPr="0057309D">
        <w:rPr>
          <w:sz w:val="22"/>
          <w:szCs w:val="22"/>
        </w:rPr>
        <w:t>.</w:t>
      </w:r>
      <w:r w:rsidR="007A5704" w:rsidRPr="0057309D">
        <w:rPr>
          <w:sz w:val="22"/>
          <w:szCs w:val="22"/>
        </w:rPr>
        <w:t xml:space="preserve"> </w:t>
      </w:r>
    </w:p>
    <w:p w14:paraId="267CE125" w14:textId="77777777" w:rsidR="00E60D0B" w:rsidRPr="0057309D" w:rsidRDefault="002203C8" w:rsidP="002D5DC0">
      <w:pPr>
        <w:pStyle w:val="NormalnyWeb"/>
        <w:spacing w:line="276" w:lineRule="auto"/>
        <w:jc w:val="both"/>
        <w:rPr>
          <w:sz w:val="22"/>
          <w:szCs w:val="22"/>
        </w:rPr>
      </w:pPr>
      <w:r w:rsidRPr="0057309D">
        <w:rPr>
          <w:sz w:val="22"/>
          <w:szCs w:val="22"/>
        </w:rPr>
        <w:t>Tymczasem w</w:t>
      </w:r>
      <w:r w:rsidR="000D4D78" w:rsidRPr="0057309D">
        <w:rPr>
          <w:sz w:val="22"/>
          <w:szCs w:val="22"/>
        </w:rPr>
        <w:t xml:space="preserve"> tego rodzaju </w:t>
      </w:r>
      <w:r w:rsidR="00B30A61" w:rsidRPr="0057309D">
        <w:rPr>
          <w:sz w:val="22"/>
          <w:szCs w:val="22"/>
        </w:rPr>
        <w:t>przypadkach</w:t>
      </w:r>
      <w:r w:rsidR="000D4D78" w:rsidRPr="0057309D">
        <w:rPr>
          <w:sz w:val="22"/>
          <w:szCs w:val="22"/>
        </w:rPr>
        <w:t xml:space="preserve"> cena w wezwaniu była ustalana jako średnia cena z okresu ostatnich miesięcy</w:t>
      </w:r>
      <w:r w:rsidR="005727AF" w:rsidRPr="0057309D">
        <w:rPr>
          <w:sz w:val="22"/>
          <w:szCs w:val="22"/>
        </w:rPr>
        <w:t xml:space="preserve"> giełdowych notowań</w:t>
      </w:r>
      <w:r w:rsidR="000D4D78" w:rsidRPr="0057309D">
        <w:rPr>
          <w:sz w:val="22"/>
          <w:szCs w:val="22"/>
        </w:rPr>
        <w:t xml:space="preserve">. </w:t>
      </w:r>
      <w:r w:rsidR="0010092E" w:rsidRPr="0057309D">
        <w:rPr>
          <w:sz w:val="22"/>
          <w:szCs w:val="22"/>
        </w:rPr>
        <w:t>Niestety t</w:t>
      </w:r>
      <w:r w:rsidR="000D4D78" w:rsidRPr="0057309D">
        <w:rPr>
          <w:sz w:val="22"/>
          <w:szCs w:val="22"/>
        </w:rPr>
        <w:t xml:space="preserve">aki </w:t>
      </w:r>
      <w:r w:rsidR="003953F8" w:rsidRPr="0057309D">
        <w:rPr>
          <w:sz w:val="22"/>
          <w:szCs w:val="22"/>
        </w:rPr>
        <w:t>sposób</w:t>
      </w:r>
      <w:r w:rsidR="000D4D78" w:rsidRPr="0057309D">
        <w:rPr>
          <w:sz w:val="22"/>
          <w:szCs w:val="22"/>
        </w:rPr>
        <w:t xml:space="preserve"> wyceny </w:t>
      </w:r>
      <w:r w:rsidR="00075C5D" w:rsidRPr="0057309D">
        <w:rPr>
          <w:sz w:val="22"/>
          <w:szCs w:val="22"/>
        </w:rPr>
        <w:t>z reguły</w:t>
      </w:r>
      <w:r w:rsidR="00C51A98" w:rsidRPr="0057309D">
        <w:rPr>
          <w:sz w:val="22"/>
          <w:szCs w:val="22"/>
        </w:rPr>
        <w:t xml:space="preserve"> nie odzwierciedlał rzeczywistej wartości spółki</w:t>
      </w:r>
      <w:r w:rsidRPr="0057309D">
        <w:rPr>
          <w:sz w:val="22"/>
          <w:szCs w:val="22"/>
        </w:rPr>
        <w:t>, bowiem</w:t>
      </w:r>
      <w:r w:rsidR="00C51A98" w:rsidRPr="0057309D">
        <w:rPr>
          <w:sz w:val="22"/>
          <w:szCs w:val="22"/>
        </w:rPr>
        <w:t xml:space="preserve"> nie kształtował się z </w:t>
      </w:r>
      <w:r w:rsidR="007237CF" w:rsidRPr="0057309D">
        <w:rPr>
          <w:sz w:val="22"/>
          <w:szCs w:val="22"/>
        </w:rPr>
        <w:t xml:space="preserve">w </w:t>
      </w:r>
      <w:r w:rsidR="00C51A98" w:rsidRPr="0057309D">
        <w:rPr>
          <w:sz w:val="22"/>
          <w:szCs w:val="22"/>
        </w:rPr>
        <w:t>sposób naturalny</w:t>
      </w:r>
      <w:r w:rsidR="00C4614D" w:rsidRPr="0057309D">
        <w:rPr>
          <w:sz w:val="22"/>
          <w:szCs w:val="22"/>
        </w:rPr>
        <w:t>. Wyjaśnić bowiem trzeba, iż</w:t>
      </w:r>
      <w:r w:rsidR="00C51A98" w:rsidRPr="0057309D">
        <w:rPr>
          <w:sz w:val="22"/>
          <w:szCs w:val="22"/>
        </w:rPr>
        <w:t xml:space="preserve"> mechanizm</w:t>
      </w:r>
      <w:r w:rsidR="00973302" w:rsidRPr="0057309D">
        <w:rPr>
          <w:sz w:val="22"/>
          <w:szCs w:val="22"/>
        </w:rPr>
        <w:t xml:space="preserve"> takiej wyceny</w:t>
      </w:r>
      <w:r w:rsidR="00075C5D" w:rsidRPr="0057309D">
        <w:rPr>
          <w:sz w:val="22"/>
          <w:szCs w:val="22"/>
        </w:rPr>
        <w:t xml:space="preserve"> często</w:t>
      </w:r>
      <w:r w:rsidR="00973302" w:rsidRPr="0057309D">
        <w:rPr>
          <w:sz w:val="22"/>
          <w:szCs w:val="22"/>
        </w:rPr>
        <w:t xml:space="preserve"> pozostawał uzależnion</w:t>
      </w:r>
      <w:r w:rsidRPr="0057309D">
        <w:rPr>
          <w:sz w:val="22"/>
          <w:szCs w:val="22"/>
        </w:rPr>
        <w:t>y</w:t>
      </w:r>
      <w:r w:rsidR="00973302" w:rsidRPr="0057309D">
        <w:rPr>
          <w:sz w:val="22"/>
          <w:szCs w:val="22"/>
        </w:rPr>
        <w:t xml:space="preserve"> od intencjonalnych działań akcjonariusza dominującego</w:t>
      </w:r>
      <w:r w:rsidR="003953F8" w:rsidRPr="0057309D">
        <w:rPr>
          <w:sz w:val="22"/>
          <w:szCs w:val="22"/>
        </w:rPr>
        <w:t>, w którego interesie leżało</w:t>
      </w:r>
      <w:r w:rsidR="00254945" w:rsidRPr="0057309D">
        <w:rPr>
          <w:sz w:val="22"/>
          <w:szCs w:val="22"/>
        </w:rPr>
        <w:t xml:space="preserve"> z reguły</w:t>
      </w:r>
      <w:r w:rsidR="003953F8" w:rsidRPr="0057309D">
        <w:rPr>
          <w:sz w:val="22"/>
          <w:szCs w:val="22"/>
        </w:rPr>
        <w:t xml:space="preserve"> uzyskanie jak najniższ</w:t>
      </w:r>
      <w:r w:rsidR="00254945" w:rsidRPr="0057309D">
        <w:rPr>
          <w:sz w:val="22"/>
          <w:szCs w:val="22"/>
        </w:rPr>
        <w:t xml:space="preserve">ych kursów notowań celem </w:t>
      </w:r>
      <w:r w:rsidR="006B7E8F" w:rsidRPr="0057309D">
        <w:rPr>
          <w:sz w:val="22"/>
          <w:szCs w:val="22"/>
        </w:rPr>
        <w:t>późniejszego zminimalizowania</w:t>
      </w:r>
      <w:r w:rsidR="003953F8" w:rsidRPr="0057309D">
        <w:rPr>
          <w:sz w:val="22"/>
          <w:szCs w:val="22"/>
        </w:rPr>
        <w:t xml:space="preserve"> ceny określonej w wezwaniu</w:t>
      </w:r>
      <w:r w:rsidR="00973302" w:rsidRPr="0057309D">
        <w:rPr>
          <w:sz w:val="22"/>
          <w:szCs w:val="22"/>
        </w:rPr>
        <w:t xml:space="preserve">. W konsekwencji </w:t>
      </w:r>
      <w:r w:rsidR="00F06739" w:rsidRPr="0057309D">
        <w:rPr>
          <w:sz w:val="22"/>
          <w:szCs w:val="22"/>
        </w:rPr>
        <w:t>dochodziło</w:t>
      </w:r>
      <w:r w:rsidR="00973302" w:rsidRPr="0057309D">
        <w:rPr>
          <w:sz w:val="22"/>
          <w:szCs w:val="22"/>
        </w:rPr>
        <w:t xml:space="preserve"> </w:t>
      </w:r>
      <w:r w:rsidR="00F06739" w:rsidRPr="0057309D">
        <w:rPr>
          <w:sz w:val="22"/>
          <w:szCs w:val="22"/>
        </w:rPr>
        <w:t xml:space="preserve">do sytuacji, w której </w:t>
      </w:r>
      <w:r w:rsidR="007F0964" w:rsidRPr="0057309D">
        <w:rPr>
          <w:sz w:val="22"/>
          <w:szCs w:val="22"/>
        </w:rPr>
        <w:t xml:space="preserve">wobec wycofania akcji danej spółki z obrotu na rynku regulowanym </w:t>
      </w:r>
      <w:r w:rsidR="00A41392" w:rsidRPr="0057309D">
        <w:rPr>
          <w:sz w:val="22"/>
          <w:szCs w:val="22"/>
        </w:rPr>
        <w:t xml:space="preserve">dominujący akcjonariusz dokonywał wezwania </w:t>
      </w:r>
      <w:r w:rsidR="00620DAB" w:rsidRPr="0057309D">
        <w:rPr>
          <w:sz w:val="22"/>
          <w:szCs w:val="22"/>
        </w:rPr>
        <w:t xml:space="preserve">za cenę rażąco zaniżoną </w:t>
      </w:r>
      <w:r w:rsidR="000E78D0" w:rsidRPr="0057309D">
        <w:rPr>
          <w:sz w:val="22"/>
          <w:szCs w:val="22"/>
        </w:rPr>
        <w:t xml:space="preserve">zarówno </w:t>
      </w:r>
      <w:r w:rsidR="00620DAB" w:rsidRPr="0057309D">
        <w:rPr>
          <w:sz w:val="22"/>
          <w:szCs w:val="22"/>
        </w:rPr>
        <w:t xml:space="preserve">względem </w:t>
      </w:r>
      <w:r w:rsidR="00E60D0B" w:rsidRPr="0057309D">
        <w:rPr>
          <w:sz w:val="22"/>
          <w:szCs w:val="22"/>
        </w:rPr>
        <w:t>godziwej wartości</w:t>
      </w:r>
      <w:r w:rsidR="00620DAB" w:rsidRPr="0057309D">
        <w:rPr>
          <w:sz w:val="22"/>
          <w:szCs w:val="22"/>
        </w:rPr>
        <w:t xml:space="preserve"> spółki</w:t>
      </w:r>
      <w:r w:rsidR="000E78D0" w:rsidRPr="0057309D">
        <w:rPr>
          <w:sz w:val="22"/>
          <w:szCs w:val="22"/>
        </w:rPr>
        <w:t>, jak</w:t>
      </w:r>
      <w:r w:rsidR="00620DAB" w:rsidRPr="0057309D">
        <w:rPr>
          <w:sz w:val="22"/>
          <w:szCs w:val="22"/>
        </w:rPr>
        <w:t xml:space="preserve"> i w oderwaniu od posiadanych przez spółkę aktywów.</w:t>
      </w:r>
      <w:r w:rsidR="00547A6E" w:rsidRPr="0057309D">
        <w:rPr>
          <w:sz w:val="22"/>
          <w:szCs w:val="22"/>
        </w:rPr>
        <w:t xml:space="preserve"> </w:t>
      </w:r>
    </w:p>
    <w:p w14:paraId="1FD613F9" w14:textId="2F53B4DD" w:rsidR="00B51F9D" w:rsidRPr="0057309D" w:rsidRDefault="002203C8" w:rsidP="002D5DC0">
      <w:pPr>
        <w:pStyle w:val="NormalnyWeb"/>
        <w:spacing w:line="276" w:lineRule="auto"/>
        <w:jc w:val="both"/>
        <w:rPr>
          <w:sz w:val="22"/>
          <w:szCs w:val="22"/>
        </w:rPr>
      </w:pPr>
      <w:r w:rsidRPr="0057309D">
        <w:rPr>
          <w:sz w:val="22"/>
          <w:szCs w:val="22"/>
        </w:rPr>
        <w:t>Dodatkowo w opisanych wyżej</w:t>
      </w:r>
      <w:r w:rsidR="001A5633" w:rsidRPr="0057309D">
        <w:rPr>
          <w:sz w:val="22"/>
          <w:szCs w:val="22"/>
        </w:rPr>
        <w:t xml:space="preserve"> przypadkach</w:t>
      </w:r>
      <w:r w:rsidRPr="0057309D">
        <w:rPr>
          <w:sz w:val="22"/>
          <w:szCs w:val="22"/>
        </w:rPr>
        <w:t>, wobec braku odpowiednich regulacji ustawowych,</w:t>
      </w:r>
      <w:r w:rsidR="007A5704" w:rsidRPr="0057309D">
        <w:rPr>
          <w:sz w:val="22"/>
          <w:szCs w:val="22"/>
        </w:rPr>
        <w:t xml:space="preserve"> cena z wezwania </w:t>
      </w:r>
      <w:r w:rsidR="001A5633" w:rsidRPr="0057309D">
        <w:rPr>
          <w:sz w:val="22"/>
          <w:szCs w:val="22"/>
        </w:rPr>
        <w:t xml:space="preserve">nie podlegała </w:t>
      </w:r>
      <w:r w:rsidR="003953F8" w:rsidRPr="0057309D">
        <w:rPr>
          <w:sz w:val="22"/>
          <w:szCs w:val="22"/>
        </w:rPr>
        <w:t xml:space="preserve">jakiejkolwiek </w:t>
      </w:r>
      <w:r w:rsidR="001A5633" w:rsidRPr="0057309D">
        <w:rPr>
          <w:sz w:val="22"/>
          <w:szCs w:val="22"/>
        </w:rPr>
        <w:t>weryfikacji przez niezależnego audytora,</w:t>
      </w:r>
      <w:r w:rsidR="00341370" w:rsidRPr="0057309D">
        <w:rPr>
          <w:sz w:val="22"/>
          <w:szCs w:val="22"/>
        </w:rPr>
        <w:t xml:space="preserve"> </w:t>
      </w:r>
      <w:r w:rsidR="001A5633" w:rsidRPr="0057309D">
        <w:rPr>
          <w:sz w:val="22"/>
          <w:szCs w:val="22"/>
        </w:rPr>
        <w:t>ani</w:t>
      </w:r>
      <w:r w:rsidRPr="0057309D">
        <w:rPr>
          <w:sz w:val="22"/>
          <w:szCs w:val="22"/>
        </w:rPr>
        <w:t xml:space="preserve"> tym bardziej</w:t>
      </w:r>
      <w:r w:rsidR="001A5633" w:rsidRPr="0057309D">
        <w:rPr>
          <w:sz w:val="22"/>
          <w:szCs w:val="22"/>
        </w:rPr>
        <w:t xml:space="preserve"> weryfikacji na drodze sądowej. W konsekwencji </w:t>
      </w:r>
      <w:r w:rsidR="005B7CB1" w:rsidRPr="0057309D">
        <w:rPr>
          <w:sz w:val="22"/>
          <w:szCs w:val="22"/>
        </w:rPr>
        <w:t>znacząca</w:t>
      </w:r>
      <w:r w:rsidR="001A5633" w:rsidRPr="0057309D">
        <w:rPr>
          <w:sz w:val="22"/>
          <w:szCs w:val="22"/>
        </w:rPr>
        <w:t xml:space="preserve"> część akcjonariuszy mniejszościowych </w:t>
      </w:r>
      <w:r w:rsidR="005B7CB1" w:rsidRPr="0057309D">
        <w:rPr>
          <w:sz w:val="22"/>
          <w:szCs w:val="22"/>
        </w:rPr>
        <w:t>tego rodzaju spółek nie odpowiadała na wezwanie</w:t>
      </w:r>
      <w:r w:rsidR="00230868" w:rsidRPr="0057309D">
        <w:rPr>
          <w:sz w:val="22"/>
          <w:szCs w:val="22"/>
        </w:rPr>
        <w:t xml:space="preserve"> głównego akcjonariusza</w:t>
      </w:r>
      <w:r w:rsidR="005B7CB1" w:rsidRPr="0057309D">
        <w:rPr>
          <w:sz w:val="22"/>
          <w:szCs w:val="22"/>
        </w:rPr>
        <w:t xml:space="preserve">, </w:t>
      </w:r>
      <w:r w:rsidR="00230868" w:rsidRPr="0057309D">
        <w:rPr>
          <w:sz w:val="22"/>
          <w:szCs w:val="22"/>
        </w:rPr>
        <w:t>bowiem</w:t>
      </w:r>
      <w:r w:rsidR="005B7CB1" w:rsidRPr="0057309D">
        <w:rPr>
          <w:sz w:val="22"/>
          <w:szCs w:val="22"/>
        </w:rPr>
        <w:t xml:space="preserve"> przyjęcie</w:t>
      </w:r>
      <w:r w:rsidR="00230868" w:rsidRPr="0057309D">
        <w:rPr>
          <w:sz w:val="22"/>
          <w:szCs w:val="22"/>
        </w:rPr>
        <w:t xml:space="preserve"> wezwania</w:t>
      </w:r>
      <w:r w:rsidR="005B7CB1" w:rsidRPr="0057309D">
        <w:rPr>
          <w:sz w:val="22"/>
          <w:szCs w:val="22"/>
        </w:rPr>
        <w:t xml:space="preserve"> </w:t>
      </w:r>
      <w:r w:rsidR="005E0871" w:rsidRPr="0057309D">
        <w:rPr>
          <w:sz w:val="22"/>
          <w:szCs w:val="22"/>
        </w:rPr>
        <w:t>do</w:t>
      </w:r>
      <w:r w:rsidR="00230868" w:rsidRPr="0057309D">
        <w:rPr>
          <w:sz w:val="22"/>
          <w:szCs w:val="22"/>
        </w:rPr>
        <w:t xml:space="preserve">prowadziłoby do </w:t>
      </w:r>
      <w:r w:rsidR="00A710B8" w:rsidRPr="0057309D">
        <w:rPr>
          <w:sz w:val="22"/>
          <w:szCs w:val="22"/>
        </w:rPr>
        <w:t>powstania</w:t>
      </w:r>
      <w:r w:rsidR="00230868" w:rsidRPr="0057309D">
        <w:rPr>
          <w:sz w:val="22"/>
          <w:szCs w:val="22"/>
        </w:rPr>
        <w:t xml:space="preserve"> </w:t>
      </w:r>
      <w:r w:rsidR="00A710B8" w:rsidRPr="0057309D">
        <w:rPr>
          <w:sz w:val="22"/>
          <w:szCs w:val="22"/>
        </w:rPr>
        <w:t xml:space="preserve">po </w:t>
      </w:r>
      <w:r w:rsidR="00341370" w:rsidRPr="0057309D">
        <w:rPr>
          <w:sz w:val="22"/>
          <w:szCs w:val="22"/>
        </w:rPr>
        <w:t xml:space="preserve">ich </w:t>
      </w:r>
      <w:r w:rsidR="00A710B8" w:rsidRPr="0057309D">
        <w:rPr>
          <w:sz w:val="22"/>
          <w:szCs w:val="22"/>
        </w:rPr>
        <w:t xml:space="preserve">stronie </w:t>
      </w:r>
      <w:r w:rsidR="00341370" w:rsidRPr="0057309D">
        <w:rPr>
          <w:sz w:val="22"/>
          <w:szCs w:val="22"/>
        </w:rPr>
        <w:t>szkody majątkowej</w:t>
      </w:r>
      <w:r w:rsidR="009D3208" w:rsidRPr="0057309D">
        <w:rPr>
          <w:sz w:val="22"/>
          <w:szCs w:val="22"/>
        </w:rPr>
        <w:t>, a tym samym do ich pokrzywdzenia.</w:t>
      </w:r>
    </w:p>
    <w:p w14:paraId="72C8EE87" w14:textId="77777777" w:rsidR="00240F28" w:rsidRPr="0057309D" w:rsidRDefault="003953F8" w:rsidP="002D5DC0">
      <w:pPr>
        <w:pStyle w:val="NormalnyWeb"/>
        <w:spacing w:line="276" w:lineRule="auto"/>
        <w:jc w:val="both"/>
        <w:rPr>
          <w:sz w:val="22"/>
          <w:szCs w:val="22"/>
        </w:rPr>
      </w:pPr>
      <w:r w:rsidRPr="0057309D">
        <w:rPr>
          <w:sz w:val="22"/>
          <w:szCs w:val="22"/>
        </w:rPr>
        <w:t xml:space="preserve">W konsekwencji </w:t>
      </w:r>
      <w:r w:rsidR="005D11EB" w:rsidRPr="0057309D">
        <w:rPr>
          <w:sz w:val="22"/>
          <w:szCs w:val="22"/>
        </w:rPr>
        <w:t xml:space="preserve">w tego rodzaju sytuacjach </w:t>
      </w:r>
      <w:r w:rsidRPr="0057309D">
        <w:rPr>
          <w:sz w:val="22"/>
          <w:szCs w:val="22"/>
        </w:rPr>
        <w:t xml:space="preserve">akcjonariusze mniejszościowi, którzy zdecydowali się nie odpowiedzieć na wezwanie </w:t>
      </w:r>
      <w:r w:rsidR="008A6FA4" w:rsidRPr="0057309D">
        <w:rPr>
          <w:sz w:val="22"/>
          <w:szCs w:val="22"/>
        </w:rPr>
        <w:t xml:space="preserve">do zbycia akcji </w:t>
      </w:r>
      <w:r w:rsidRPr="0057309D">
        <w:rPr>
          <w:sz w:val="22"/>
          <w:szCs w:val="22"/>
        </w:rPr>
        <w:t>i p</w:t>
      </w:r>
      <w:r w:rsidR="00341370" w:rsidRPr="0057309D">
        <w:rPr>
          <w:sz w:val="22"/>
          <w:szCs w:val="22"/>
        </w:rPr>
        <w:t>ozosta</w:t>
      </w:r>
      <w:r w:rsidRPr="0057309D">
        <w:rPr>
          <w:sz w:val="22"/>
          <w:szCs w:val="22"/>
        </w:rPr>
        <w:t>ć w spółce,</w:t>
      </w:r>
      <w:r w:rsidR="00341370" w:rsidRPr="0057309D">
        <w:rPr>
          <w:sz w:val="22"/>
          <w:szCs w:val="22"/>
        </w:rPr>
        <w:t xml:space="preserve"> </w:t>
      </w:r>
      <w:r w:rsidR="007A3DB2" w:rsidRPr="0057309D">
        <w:rPr>
          <w:sz w:val="22"/>
          <w:szCs w:val="22"/>
        </w:rPr>
        <w:t xml:space="preserve">pozbawieni zostali wsparcia zarówno </w:t>
      </w:r>
      <w:r w:rsidR="007A3DB2" w:rsidRPr="0057309D">
        <w:rPr>
          <w:sz w:val="22"/>
          <w:szCs w:val="22"/>
        </w:rPr>
        <w:lastRenderedPageBreak/>
        <w:t xml:space="preserve">ze strony organów </w:t>
      </w:r>
      <w:r w:rsidRPr="0057309D">
        <w:rPr>
          <w:sz w:val="22"/>
          <w:szCs w:val="22"/>
        </w:rPr>
        <w:t>nadzoru finansowego</w:t>
      </w:r>
      <w:r w:rsidR="007A3DB2" w:rsidRPr="0057309D">
        <w:rPr>
          <w:sz w:val="22"/>
          <w:szCs w:val="22"/>
        </w:rPr>
        <w:t>, jak też faktycznej możliwości</w:t>
      </w:r>
      <w:r w:rsidR="005549C6" w:rsidRPr="0057309D">
        <w:rPr>
          <w:sz w:val="22"/>
          <w:szCs w:val="22"/>
        </w:rPr>
        <w:t xml:space="preserve"> zbycia swoich akcji na rynku regulowanym</w:t>
      </w:r>
      <w:r w:rsidRPr="0057309D">
        <w:rPr>
          <w:sz w:val="22"/>
          <w:szCs w:val="22"/>
        </w:rPr>
        <w:t xml:space="preserve"> po godziwej cenie</w:t>
      </w:r>
      <w:r w:rsidR="00341370" w:rsidRPr="0057309D">
        <w:rPr>
          <w:sz w:val="22"/>
          <w:szCs w:val="22"/>
        </w:rPr>
        <w:t xml:space="preserve">. W konsekwencji </w:t>
      </w:r>
      <w:r w:rsidRPr="0057309D">
        <w:rPr>
          <w:sz w:val="22"/>
          <w:szCs w:val="22"/>
        </w:rPr>
        <w:t>tacy akcjonariusze</w:t>
      </w:r>
      <w:r w:rsidR="00341370" w:rsidRPr="0057309D">
        <w:rPr>
          <w:sz w:val="22"/>
          <w:szCs w:val="22"/>
        </w:rPr>
        <w:t xml:space="preserve"> </w:t>
      </w:r>
      <w:r w:rsidRPr="0057309D">
        <w:rPr>
          <w:sz w:val="22"/>
          <w:szCs w:val="22"/>
        </w:rPr>
        <w:t xml:space="preserve">stopniowo tracili </w:t>
      </w:r>
      <w:r w:rsidR="00616717" w:rsidRPr="0057309D">
        <w:rPr>
          <w:sz w:val="22"/>
          <w:szCs w:val="22"/>
        </w:rPr>
        <w:t xml:space="preserve">jakikolwiek </w:t>
      </w:r>
      <w:r w:rsidR="00341370" w:rsidRPr="0057309D">
        <w:rPr>
          <w:sz w:val="22"/>
          <w:szCs w:val="22"/>
        </w:rPr>
        <w:t>wpływ na działalnoś</w:t>
      </w:r>
      <w:r w:rsidR="00616717" w:rsidRPr="0057309D">
        <w:rPr>
          <w:sz w:val="22"/>
          <w:szCs w:val="22"/>
        </w:rPr>
        <w:t>ć</w:t>
      </w:r>
      <w:r w:rsidR="00341370" w:rsidRPr="0057309D">
        <w:rPr>
          <w:sz w:val="22"/>
          <w:szCs w:val="22"/>
        </w:rPr>
        <w:t xml:space="preserve"> spółki oraz</w:t>
      </w:r>
      <w:r w:rsidR="00A15A7D" w:rsidRPr="0057309D">
        <w:rPr>
          <w:sz w:val="22"/>
          <w:szCs w:val="22"/>
        </w:rPr>
        <w:t xml:space="preserve"> </w:t>
      </w:r>
      <w:r w:rsidRPr="0057309D">
        <w:rPr>
          <w:sz w:val="22"/>
          <w:szCs w:val="22"/>
        </w:rPr>
        <w:t>podlegali coraz większej</w:t>
      </w:r>
      <w:r w:rsidR="000D4D78" w:rsidRPr="0057309D">
        <w:rPr>
          <w:sz w:val="22"/>
          <w:szCs w:val="22"/>
        </w:rPr>
        <w:t xml:space="preserve"> </w:t>
      </w:r>
      <w:r w:rsidRPr="0057309D">
        <w:rPr>
          <w:sz w:val="22"/>
          <w:szCs w:val="22"/>
        </w:rPr>
        <w:t>marginalizacji na rzecz akcjonariusz</w:t>
      </w:r>
      <w:r w:rsidR="008F67F2" w:rsidRPr="0057309D">
        <w:rPr>
          <w:sz w:val="22"/>
          <w:szCs w:val="22"/>
        </w:rPr>
        <w:t>a</w:t>
      </w:r>
      <w:r w:rsidRPr="0057309D">
        <w:rPr>
          <w:sz w:val="22"/>
          <w:szCs w:val="22"/>
        </w:rPr>
        <w:t xml:space="preserve"> dominującego.</w:t>
      </w:r>
    </w:p>
    <w:p w14:paraId="21739E4A" w14:textId="77777777" w:rsidR="003953F8" w:rsidRPr="0057309D" w:rsidRDefault="003953F8" w:rsidP="002D5DC0">
      <w:pPr>
        <w:pStyle w:val="NormalnyWeb"/>
        <w:spacing w:line="276" w:lineRule="auto"/>
        <w:jc w:val="both"/>
        <w:rPr>
          <w:sz w:val="22"/>
          <w:szCs w:val="22"/>
        </w:rPr>
      </w:pPr>
      <w:r w:rsidRPr="0057309D">
        <w:rPr>
          <w:sz w:val="22"/>
          <w:szCs w:val="22"/>
        </w:rPr>
        <w:t>Opisane wyżej zjawisko dotknęło</w:t>
      </w:r>
      <w:r w:rsidR="005D11EB" w:rsidRPr="0057309D">
        <w:rPr>
          <w:sz w:val="22"/>
          <w:szCs w:val="22"/>
        </w:rPr>
        <w:t xml:space="preserve"> również akcjonariuszy mniejszościowych Elektrim S.A.</w:t>
      </w:r>
    </w:p>
    <w:p w14:paraId="6B8C506D" w14:textId="0D569321" w:rsidR="00E045C1" w:rsidRPr="0057309D" w:rsidRDefault="005D11EB" w:rsidP="002D5DC0">
      <w:pPr>
        <w:pStyle w:val="NormalnyWeb"/>
        <w:spacing w:line="276" w:lineRule="auto"/>
        <w:jc w:val="both"/>
        <w:rPr>
          <w:rFonts w:eastAsiaTheme="minorEastAsia"/>
          <w:sz w:val="22"/>
          <w:szCs w:val="22"/>
          <w:shd w:val="clear" w:color="auto" w:fill="FFFFFF"/>
        </w:rPr>
      </w:pPr>
      <w:r w:rsidRPr="0057309D">
        <w:rPr>
          <w:sz w:val="22"/>
          <w:szCs w:val="22"/>
          <w:shd w:val="clear" w:color="auto" w:fill="FFFFFF"/>
        </w:rPr>
        <w:t xml:space="preserve">Celem przybliżenia aktualnej sytuacji akcjonariuszy mniejszościowych Spółki </w:t>
      </w:r>
      <w:r w:rsidR="00132C57" w:rsidRPr="0057309D">
        <w:rPr>
          <w:sz w:val="22"/>
          <w:szCs w:val="22"/>
          <w:shd w:val="clear" w:color="auto" w:fill="FFFFFF"/>
        </w:rPr>
        <w:t xml:space="preserve">na wstępie wyjaśnić należy, </w:t>
      </w:r>
      <w:r w:rsidR="00E045C1" w:rsidRPr="0057309D">
        <w:rPr>
          <w:sz w:val="22"/>
          <w:szCs w:val="22"/>
          <w:shd w:val="clear" w:color="auto" w:fill="FFFFFF"/>
        </w:rPr>
        <w:t xml:space="preserve">iż </w:t>
      </w:r>
      <w:r w:rsidR="00E045C1" w:rsidRPr="0057309D">
        <w:rPr>
          <w:rFonts w:eastAsiaTheme="minorEastAsia"/>
          <w:sz w:val="22"/>
          <w:szCs w:val="22"/>
          <w:shd w:val="clear" w:color="auto" w:fill="FFFFFF"/>
        </w:rPr>
        <w:t>Elektrim S.A. jest spółką holdingową i jednostką dominującą Grupy Kapitałowej Elektrim S.A., do której przynależy 57 jednostek zależnych (wg skonsolidowanego sprawozdania finansowego na dzień 31 grudnia 2019 r.</w:t>
      </w:r>
      <w:r w:rsidR="00B63D44">
        <w:rPr>
          <w:rFonts w:eastAsiaTheme="minorEastAsia"/>
          <w:sz w:val="22"/>
          <w:szCs w:val="22"/>
          <w:shd w:val="clear" w:color="auto" w:fill="FFFFFF"/>
        </w:rPr>
        <w:t>)</w:t>
      </w:r>
      <w:r w:rsidR="00E045C1" w:rsidRPr="0057309D">
        <w:rPr>
          <w:rFonts w:eastAsiaTheme="minorEastAsia"/>
          <w:sz w:val="22"/>
          <w:szCs w:val="22"/>
          <w:shd w:val="clear" w:color="auto" w:fill="FFFFFF"/>
        </w:rPr>
        <w:t xml:space="preserve">, zaś </w:t>
      </w:r>
      <w:r w:rsidR="00E045C1" w:rsidRPr="0057309D">
        <w:rPr>
          <w:sz w:val="22"/>
          <w:szCs w:val="22"/>
        </w:rPr>
        <w:t xml:space="preserve">głównym akcjonariuszem jest </w:t>
      </w:r>
      <w:r w:rsidR="00401D36" w:rsidRPr="0057309D">
        <w:rPr>
          <w:sz w:val="22"/>
          <w:szCs w:val="22"/>
        </w:rPr>
        <w:t xml:space="preserve">spółka </w:t>
      </w:r>
      <w:r w:rsidR="00E045C1" w:rsidRPr="0057309D">
        <w:rPr>
          <w:sz w:val="22"/>
          <w:szCs w:val="22"/>
        </w:rPr>
        <w:t xml:space="preserve">Bithell Holdings </w:t>
      </w:r>
      <w:r w:rsidR="00401D36" w:rsidRPr="0057309D">
        <w:rPr>
          <w:sz w:val="22"/>
          <w:szCs w:val="22"/>
        </w:rPr>
        <w:t>Ltd.</w:t>
      </w:r>
      <w:r w:rsidR="00E045C1" w:rsidRPr="0057309D">
        <w:rPr>
          <w:sz w:val="22"/>
          <w:szCs w:val="22"/>
        </w:rPr>
        <w:t xml:space="preserve"> kontrolowana przez Zygmunta Solorza posiadająca </w:t>
      </w:r>
      <w:r w:rsidR="00A5523E" w:rsidRPr="0057309D">
        <w:rPr>
          <w:sz w:val="22"/>
          <w:szCs w:val="22"/>
        </w:rPr>
        <w:t xml:space="preserve">aż </w:t>
      </w:r>
      <w:r w:rsidR="00E045C1" w:rsidRPr="0057309D">
        <w:rPr>
          <w:sz w:val="22"/>
          <w:szCs w:val="22"/>
        </w:rPr>
        <w:t xml:space="preserve">78,42% udziału w Spółce. Zygmunt Solorz kontroluje również innego znaczącego akcjonariusza Spółki, tj. spółkę prawa cypryjskiego Karswell </w:t>
      </w:r>
      <w:r w:rsidR="00401D36" w:rsidRPr="0057309D">
        <w:rPr>
          <w:sz w:val="22"/>
          <w:szCs w:val="22"/>
        </w:rPr>
        <w:t xml:space="preserve">Ltd. </w:t>
      </w:r>
      <w:r w:rsidR="00E045C1" w:rsidRPr="0057309D">
        <w:rPr>
          <w:sz w:val="22"/>
          <w:szCs w:val="22"/>
        </w:rPr>
        <w:t>posiadającą 2,98% udziału oraz WNB Holding Ltd</w:t>
      </w:r>
      <w:r w:rsidR="00401D36" w:rsidRPr="0057309D">
        <w:rPr>
          <w:sz w:val="22"/>
          <w:szCs w:val="22"/>
        </w:rPr>
        <w:t>.</w:t>
      </w:r>
      <w:r w:rsidR="00E045C1" w:rsidRPr="0057309D">
        <w:rPr>
          <w:sz w:val="22"/>
          <w:szCs w:val="22"/>
        </w:rPr>
        <w:t xml:space="preserve"> posiadającą 0,85% udziału </w:t>
      </w:r>
      <w:r w:rsidR="00665BB0" w:rsidRPr="0057309D">
        <w:rPr>
          <w:sz w:val="22"/>
          <w:szCs w:val="22"/>
        </w:rPr>
        <w:t>co łącznie daje Zygmuntowi Solorzowi 82,25% udziałów</w:t>
      </w:r>
      <w:r w:rsidR="0088051E" w:rsidRPr="0057309D">
        <w:rPr>
          <w:sz w:val="22"/>
          <w:szCs w:val="22"/>
        </w:rPr>
        <w:t xml:space="preserve"> w Spółce</w:t>
      </w:r>
      <w:r w:rsidR="00665BB0" w:rsidRPr="0057309D">
        <w:rPr>
          <w:sz w:val="22"/>
          <w:szCs w:val="22"/>
        </w:rPr>
        <w:t>.</w:t>
      </w:r>
    </w:p>
    <w:p w14:paraId="00F653BF" w14:textId="206638D1" w:rsidR="00094109" w:rsidRPr="0057309D" w:rsidRDefault="00E045C1" w:rsidP="002D5DC0">
      <w:pPr>
        <w:pStyle w:val="NormalnyWeb"/>
        <w:spacing w:line="276" w:lineRule="auto"/>
        <w:jc w:val="both"/>
        <w:rPr>
          <w:sz w:val="22"/>
          <w:szCs w:val="22"/>
        </w:rPr>
      </w:pPr>
      <w:r w:rsidRPr="0057309D">
        <w:rPr>
          <w:sz w:val="22"/>
          <w:szCs w:val="22"/>
          <w:shd w:val="clear" w:color="auto" w:fill="FFFFFF"/>
        </w:rPr>
        <w:t>Wskazać także trzeba</w:t>
      </w:r>
      <w:r w:rsidR="005D11EB" w:rsidRPr="0057309D">
        <w:rPr>
          <w:sz w:val="22"/>
          <w:szCs w:val="22"/>
          <w:shd w:val="clear" w:color="auto" w:fill="FFFFFF"/>
        </w:rPr>
        <w:t xml:space="preserve">, iż Elektrim S.A. </w:t>
      </w:r>
      <w:r w:rsidR="002A2A22" w:rsidRPr="0057309D">
        <w:rPr>
          <w:sz w:val="22"/>
          <w:szCs w:val="22"/>
          <w:shd w:val="clear" w:color="auto" w:fill="FFFFFF"/>
        </w:rPr>
        <w:t>jest byłą spółką giełdową, wykluczoną</w:t>
      </w:r>
      <w:r w:rsidR="002A2A22" w:rsidRPr="0057309D">
        <w:rPr>
          <w:bCs/>
          <w:sz w:val="22"/>
          <w:szCs w:val="22"/>
        </w:rPr>
        <w:t xml:space="preserve"> z obrotu na rynku regulowanym. </w:t>
      </w:r>
      <w:r w:rsidR="005D11EB" w:rsidRPr="0057309D">
        <w:rPr>
          <w:bCs/>
          <w:sz w:val="22"/>
          <w:szCs w:val="22"/>
        </w:rPr>
        <w:t xml:space="preserve"> </w:t>
      </w:r>
      <w:r w:rsidR="005D11EB" w:rsidRPr="0057309D">
        <w:rPr>
          <w:sz w:val="22"/>
          <w:szCs w:val="22"/>
        </w:rPr>
        <w:t xml:space="preserve">Z dniem 21 stycznia 2008 r. </w:t>
      </w:r>
      <w:r w:rsidR="002A2A22" w:rsidRPr="0057309D">
        <w:rPr>
          <w:bCs/>
          <w:sz w:val="22"/>
          <w:szCs w:val="22"/>
        </w:rPr>
        <w:t>U</w:t>
      </w:r>
      <w:r w:rsidR="002A2A22" w:rsidRPr="0057309D">
        <w:rPr>
          <w:sz w:val="22"/>
          <w:szCs w:val="22"/>
        </w:rPr>
        <w:t xml:space="preserve">chwałą Zarządu Giełdy Papierów Wartościowych w Warszawie Nr 29/2008 w związku z Uchwałą Zarządu Giełdy Papierów Wartościowych w Warszawie Nr 871/2007 </w:t>
      </w:r>
      <w:r w:rsidR="002F76DC" w:rsidRPr="0057309D">
        <w:rPr>
          <w:sz w:val="22"/>
          <w:szCs w:val="22"/>
        </w:rPr>
        <w:t xml:space="preserve">akcje Elektrim S.A. </w:t>
      </w:r>
      <w:r w:rsidR="002A2A22" w:rsidRPr="0057309D">
        <w:rPr>
          <w:sz w:val="22"/>
          <w:szCs w:val="22"/>
        </w:rPr>
        <w:t>zostały wykluczone z obrotu giełdowego. Wykluczenie akcji miało charakter jedynie warunkowy, zaś treść uchwały</w:t>
      </w:r>
      <w:r w:rsidR="00CE565E" w:rsidRPr="0057309D">
        <w:rPr>
          <w:sz w:val="22"/>
          <w:szCs w:val="22"/>
        </w:rPr>
        <w:t xml:space="preserve"> Zarządu</w:t>
      </w:r>
      <w:r w:rsidR="002A2A22" w:rsidRPr="0057309D">
        <w:rPr>
          <w:sz w:val="22"/>
          <w:szCs w:val="22"/>
        </w:rPr>
        <w:t xml:space="preserve"> </w:t>
      </w:r>
      <w:r w:rsidR="00CE565E" w:rsidRPr="0057309D">
        <w:rPr>
          <w:sz w:val="22"/>
          <w:szCs w:val="22"/>
        </w:rPr>
        <w:t xml:space="preserve">GPW S.A. </w:t>
      </w:r>
      <w:r w:rsidR="002A2A22" w:rsidRPr="0057309D">
        <w:rPr>
          <w:sz w:val="22"/>
          <w:szCs w:val="22"/>
        </w:rPr>
        <w:t>nakładała na organy Spółki obowiązek powrotu na Giełdę po umorzeniu postępowania upadłościowego.</w:t>
      </w:r>
    </w:p>
    <w:p w14:paraId="04F77A77" w14:textId="77777777" w:rsidR="00460416" w:rsidRPr="0057309D" w:rsidRDefault="006A3FF1" w:rsidP="002D5DC0">
      <w:pPr>
        <w:pStyle w:val="NormalnyWeb"/>
        <w:spacing w:line="276" w:lineRule="auto"/>
        <w:jc w:val="both"/>
        <w:rPr>
          <w:sz w:val="22"/>
          <w:szCs w:val="22"/>
        </w:rPr>
      </w:pPr>
      <w:r w:rsidRPr="0057309D">
        <w:rPr>
          <w:sz w:val="22"/>
          <w:szCs w:val="22"/>
        </w:rPr>
        <w:t>Zauważyć także trzeba, iż Elektrim S.A.</w:t>
      </w:r>
      <w:r w:rsidR="0089485F" w:rsidRPr="0057309D">
        <w:rPr>
          <w:sz w:val="22"/>
          <w:szCs w:val="22"/>
        </w:rPr>
        <w:t xml:space="preserve"> w dniu 30 listopada 2019 r. utraciła status spółki publicznej w związku ze zmianą definicji spółki publicznej wprowadzonej ustawą</w:t>
      </w:r>
      <w:r w:rsidRPr="0057309D">
        <w:rPr>
          <w:sz w:val="22"/>
          <w:szCs w:val="22"/>
        </w:rPr>
        <w:t xml:space="preserve"> </w:t>
      </w:r>
      <w:r w:rsidR="0089485F" w:rsidRPr="0057309D">
        <w:rPr>
          <w:sz w:val="22"/>
          <w:szCs w:val="22"/>
        </w:rPr>
        <w:t xml:space="preserve">o zmianie ustawy o ofercie publicznej i warunkach wprowadzania instrumentów finansowych do zorganizowanego systemu obrotu oraz o spółkach publicznych oraz niektórych innych ustaw z dnia 16 października 2019 r. (Dz.U. z 2019 r. poz. 2217). Niemniej </w:t>
      </w:r>
      <w:r w:rsidR="00460416" w:rsidRPr="0057309D">
        <w:rPr>
          <w:sz w:val="22"/>
          <w:szCs w:val="22"/>
        </w:rPr>
        <w:t>zastosowanie do Spółki wciąż znajdują przepisy ustawy o ofercie publicznej dotyczące spółek publicznych,</w:t>
      </w:r>
      <w:r w:rsidR="00460416" w:rsidRPr="0057309D">
        <w:rPr>
          <w:bCs/>
          <w:sz w:val="22"/>
          <w:szCs w:val="22"/>
        </w:rPr>
        <w:t xml:space="preserve"> </w:t>
      </w:r>
      <w:r w:rsidR="00460416" w:rsidRPr="0057309D">
        <w:rPr>
          <w:rFonts w:eastAsiaTheme="minorEastAsia"/>
          <w:sz w:val="22"/>
          <w:szCs w:val="22"/>
          <w:shd w:val="clear" w:color="auto" w:fill="FFFFFF"/>
        </w:rPr>
        <w:t xml:space="preserve">co wynika z treści </w:t>
      </w:r>
      <w:r w:rsidR="00460416" w:rsidRPr="0057309D">
        <w:rPr>
          <w:sz w:val="22"/>
          <w:szCs w:val="22"/>
          <w:shd w:val="clear" w:color="auto" w:fill="FFFFFF"/>
        </w:rPr>
        <w:t>art. 27 ust. 1</w:t>
      </w:r>
      <w:r w:rsidR="00DB24A6" w:rsidRPr="0057309D">
        <w:rPr>
          <w:sz w:val="22"/>
          <w:szCs w:val="22"/>
          <w:shd w:val="clear" w:color="auto" w:fill="FFFFFF"/>
        </w:rPr>
        <w:t xml:space="preserve"> wspomnianej</w:t>
      </w:r>
      <w:r w:rsidR="00460416" w:rsidRPr="0057309D">
        <w:rPr>
          <w:sz w:val="22"/>
          <w:szCs w:val="22"/>
          <w:shd w:val="clear" w:color="auto" w:fill="FFFFFF"/>
        </w:rPr>
        <w:t xml:space="preserve"> ustawy z dnia 16</w:t>
      </w:r>
      <w:r w:rsidR="00DB24A6" w:rsidRPr="0057309D">
        <w:rPr>
          <w:sz w:val="22"/>
          <w:szCs w:val="22"/>
          <w:shd w:val="clear" w:color="auto" w:fill="FFFFFF"/>
        </w:rPr>
        <w:t xml:space="preserve"> października </w:t>
      </w:r>
      <w:r w:rsidR="00460416" w:rsidRPr="0057309D">
        <w:rPr>
          <w:sz w:val="22"/>
          <w:szCs w:val="22"/>
          <w:shd w:val="clear" w:color="auto" w:fill="FFFFFF"/>
        </w:rPr>
        <w:t>2019 r.</w:t>
      </w:r>
      <w:r w:rsidR="00DB24A6" w:rsidRPr="0057309D">
        <w:rPr>
          <w:sz w:val="22"/>
          <w:szCs w:val="22"/>
          <w:shd w:val="clear" w:color="auto" w:fill="FFFFFF"/>
        </w:rPr>
        <w:t>, zgodnie z którym</w:t>
      </w:r>
      <w:r w:rsidR="00720E4C" w:rsidRPr="0057309D">
        <w:rPr>
          <w:sz w:val="22"/>
          <w:szCs w:val="22"/>
          <w:shd w:val="clear" w:color="auto" w:fill="FFFFFF"/>
        </w:rPr>
        <w:t xml:space="preserve"> przepis</w:t>
      </w:r>
      <w:r w:rsidR="00110153" w:rsidRPr="0057309D">
        <w:rPr>
          <w:sz w:val="22"/>
          <w:szCs w:val="22"/>
          <w:shd w:val="clear" w:color="auto" w:fill="FFFFFF"/>
        </w:rPr>
        <w:t>y</w:t>
      </w:r>
      <w:r w:rsidR="00720E4C" w:rsidRPr="0057309D">
        <w:rPr>
          <w:sz w:val="22"/>
          <w:szCs w:val="22"/>
          <w:shd w:val="clear" w:color="auto" w:fill="FFFFFF"/>
        </w:rPr>
        <w:t xml:space="preserve"> ustawy o ofercie publicznej stosuje się między innymi do spółek, które w dniu wejście w życie ustawy nowelizującej</w:t>
      </w:r>
      <w:r w:rsidR="003F6BFA" w:rsidRPr="0057309D">
        <w:rPr>
          <w:sz w:val="22"/>
          <w:szCs w:val="22"/>
          <w:shd w:val="clear" w:color="auto" w:fill="FFFFFF"/>
        </w:rPr>
        <w:t xml:space="preserve"> spełniały definicję spółki publicznej jako spółki, której co najmniej jedna akcja pozostawała zdemate</w:t>
      </w:r>
      <w:r w:rsidR="006B49EB" w:rsidRPr="0057309D">
        <w:rPr>
          <w:sz w:val="22"/>
          <w:szCs w:val="22"/>
          <w:shd w:val="clear" w:color="auto" w:fill="FFFFFF"/>
        </w:rPr>
        <w:t>ria</w:t>
      </w:r>
      <w:r w:rsidR="005A0409" w:rsidRPr="0057309D">
        <w:rPr>
          <w:sz w:val="22"/>
          <w:szCs w:val="22"/>
          <w:shd w:val="clear" w:color="auto" w:fill="FFFFFF"/>
        </w:rPr>
        <w:t>lizowana, aż do czasu ewentualnego wyrejestrowania takiej spółki z depozytu papierów wartościowych.</w:t>
      </w:r>
    </w:p>
    <w:p w14:paraId="2521E3ED" w14:textId="77777777" w:rsidR="00E16887" w:rsidRPr="0057309D" w:rsidRDefault="002A2A22" w:rsidP="002D5DC0">
      <w:pPr>
        <w:spacing w:line="276" w:lineRule="auto"/>
        <w:jc w:val="both"/>
        <w:rPr>
          <w:sz w:val="22"/>
          <w:szCs w:val="22"/>
        </w:rPr>
      </w:pPr>
      <w:r w:rsidRPr="0057309D">
        <w:rPr>
          <w:sz w:val="22"/>
          <w:szCs w:val="22"/>
        </w:rPr>
        <w:t>W wykonaniu uchwały</w:t>
      </w:r>
      <w:r w:rsidR="00094109" w:rsidRPr="0057309D">
        <w:rPr>
          <w:sz w:val="22"/>
          <w:szCs w:val="22"/>
        </w:rPr>
        <w:t xml:space="preserve"> Zarządu GPW S.A.</w:t>
      </w:r>
      <w:r w:rsidR="005D11EB" w:rsidRPr="0057309D">
        <w:rPr>
          <w:sz w:val="22"/>
          <w:szCs w:val="22"/>
        </w:rPr>
        <w:t xml:space="preserve"> Nr 871/2007 </w:t>
      </w:r>
      <w:r w:rsidR="00554353" w:rsidRPr="0057309D">
        <w:rPr>
          <w:sz w:val="22"/>
          <w:szCs w:val="22"/>
        </w:rPr>
        <w:t xml:space="preserve">w </w:t>
      </w:r>
      <w:r w:rsidR="009A6BC7" w:rsidRPr="0057309D">
        <w:rPr>
          <w:sz w:val="22"/>
          <w:szCs w:val="22"/>
        </w:rPr>
        <w:t>dniu 30 listopada 2007 r. ówczesny główny akcjonariusz spółk</w:t>
      </w:r>
      <w:r w:rsidR="009D280A" w:rsidRPr="0057309D">
        <w:rPr>
          <w:sz w:val="22"/>
          <w:szCs w:val="22"/>
        </w:rPr>
        <w:t>i, tj.</w:t>
      </w:r>
      <w:r w:rsidR="009A6BC7" w:rsidRPr="0057309D">
        <w:rPr>
          <w:sz w:val="22"/>
          <w:szCs w:val="22"/>
        </w:rPr>
        <w:t xml:space="preserve"> PAI Media S</w:t>
      </w:r>
      <w:r w:rsidR="009D280A" w:rsidRPr="0057309D">
        <w:rPr>
          <w:sz w:val="22"/>
          <w:szCs w:val="22"/>
        </w:rPr>
        <w:t>.A. w</w:t>
      </w:r>
      <w:r w:rsidR="009A6BC7" w:rsidRPr="0057309D">
        <w:rPr>
          <w:sz w:val="22"/>
          <w:szCs w:val="22"/>
        </w:rPr>
        <w:t xml:space="preserve">ezwał akcjonariuszy </w:t>
      </w:r>
      <w:r w:rsidR="007225E7" w:rsidRPr="0057309D">
        <w:rPr>
          <w:sz w:val="22"/>
          <w:szCs w:val="22"/>
        </w:rPr>
        <w:t>S</w:t>
      </w:r>
      <w:r w:rsidR="009A6BC7" w:rsidRPr="0057309D">
        <w:rPr>
          <w:sz w:val="22"/>
          <w:szCs w:val="22"/>
        </w:rPr>
        <w:t xml:space="preserve">półki </w:t>
      </w:r>
      <w:r w:rsidR="00176953" w:rsidRPr="0057309D">
        <w:rPr>
          <w:sz w:val="22"/>
          <w:szCs w:val="22"/>
        </w:rPr>
        <w:t>do nabycia akcji.</w:t>
      </w:r>
      <w:r w:rsidR="0034431E" w:rsidRPr="0057309D">
        <w:rPr>
          <w:sz w:val="22"/>
          <w:szCs w:val="22"/>
        </w:rPr>
        <w:t xml:space="preserve"> Niemniej znaczna część akcjonariuszy nie skorzystała wówczas z zaproszenia właśnie wobec okoliczności, iż oferowana cena była zaniżona względem rynkowej, a tym bardziej względem godziwej ceny akcji.</w:t>
      </w:r>
      <w:r w:rsidR="00E16887" w:rsidRPr="0057309D">
        <w:rPr>
          <w:sz w:val="22"/>
          <w:szCs w:val="22"/>
        </w:rPr>
        <w:t xml:space="preserve"> Przedmiotem wezwania było bowiem 56.077.959 sztuk akcji po cenie 6,25 zł za akcję, która to cena została ostatecznie podwyższona do 7,82 zł za akcję. </w:t>
      </w:r>
    </w:p>
    <w:p w14:paraId="2031BF05" w14:textId="77777777" w:rsidR="00506997" w:rsidRPr="0057309D" w:rsidRDefault="00506997" w:rsidP="002D5DC0">
      <w:pPr>
        <w:spacing w:line="276" w:lineRule="auto"/>
        <w:jc w:val="both"/>
        <w:rPr>
          <w:bCs/>
          <w:sz w:val="22"/>
          <w:szCs w:val="22"/>
        </w:rPr>
      </w:pPr>
    </w:p>
    <w:p w14:paraId="2F79D4AF" w14:textId="0C9E74C8" w:rsidR="00506997" w:rsidRPr="0057309D" w:rsidRDefault="00506997" w:rsidP="002D5DC0">
      <w:pPr>
        <w:spacing w:line="276" w:lineRule="auto"/>
        <w:jc w:val="both"/>
        <w:rPr>
          <w:bCs/>
          <w:sz w:val="22"/>
          <w:szCs w:val="22"/>
        </w:rPr>
      </w:pPr>
      <w:r w:rsidRPr="0057309D">
        <w:rPr>
          <w:bCs/>
          <w:sz w:val="22"/>
          <w:szCs w:val="22"/>
        </w:rPr>
        <w:t>Zaniżona wartość akcji przyjętej w treści wezwania wynikała z przyjęcia jako podstawy wyceny bardzo niskiego kursu akcji Spółki z ostatnich miesięcy. Niski kurs pozostawał wówczas uwarunkowany zagrożeniem upadłością oraz zawisłością sporu w sprawie przynależności ok. 50% udziałów w PTC sp. z o. o. – operatora sieci komórkowej ERA. Ówczesny kurs w żadnym stopniu jednak nie uwzględniał godziwej wartości spółki obejmującej posiadane przez Spółkę aktywa oraz perspektywy rychłego poprawienia jej niepewnej wówczas sytuacji.</w:t>
      </w:r>
    </w:p>
    <w:p w14:paraId="6FE0FFB2" w14:textId="77777777" w:rsidR="00FD2A4C" w:rsidRPr="0057309D" w:rsidRDefault="00FD2A4C" w:rsidP="002D5DC0">
      <w:pPr>
        <w:spacing w:line="276" w:lineRule="auto"/>
        <w:jc w:val="both"/>
        <w:rPr>
          <w:bCs/>
          <w:sz w:val="22"/>
          <w:szCs w:val="22"/>
        </w:rPr>
      </w:pPr>
    </w:p>
    <w:p w14:paraId="25BE481D" w14:textId="77777777" w:rsidR="00506997" w:rsidRPr="0057309D" w:rsidRDefault="006460C9" w:rsidP="002D5DC0">
      <w:pPr>
        <w:spacing w:line="276" w:lineRule="auto"/>
        <w:jc w:val="both"/>
        <w:rPr>
          <w:bCs/>
          <w:sz w:val="22"/>
          <w:szCs w:val="22"/>
        </w:rPr>
      </w:pPr>
      <w:r w:rsidRPr="0057309D">
        <w:rPr>
          <w:bCs/>
          <w:sz w:val="22"/>
          <w:szCs w:val="22"/>
        </w:rPr>
        <w:t>Dla wyjaśnienia stopnia zaniżenia wyceny z wezwania podkreślić należy, iż z</w:t>
      </w:r>
      <w:r w:rsidR="00506997" w:rsidRPr="0057309D">
        <w:rPr>
          <w:bCs/>
          <w:sz w:val="22"/>
          <w:szCs w:val="22"/>
        </w:rPr>
        <w:t xml:space="preserve">godnie z opublikowanym, przebadanym i zatwierdzonym skonsolidowanym finansowym sprawozdaniem Grupy Kapitałowej Elektrim S.A. za okres 6 miesięcy zakończony dnia 30 czerwca 2007 r. wartość kapitałów własnych </w:t>
      </w:r>
      <w:r w:rsidRPr="0057309D">
        <w:rPr>
          <w:bCs/>
          <w:sz w:val="22"/>
          <w:szCs w:val="22"/>
        </w:rPr>
        <w:t>Elektrim SA.</w:t>
      </w:r>
      <w:r w:rsidR="00506997" w:rsidRPr="0057309D">
        <w:rPr>
          <w:bCs/>
          <w:sz w:val="22"/>
          <w:szCs w:val="22"/>
        </w:rPr>
        <w:t xml:space="preserve"> na dzień 30 czerwca 2007 r. wynosiła 2.142.218.000,00 zł, przy wartości aktywów Grupy</w:t>
      </w:r>
      <w:r w:rsidRPr="0057309D">
        <w:rPr>
          <w:bCs/>
          <w:sz w:val="22"/>
          <w:szCs w:val="22"/>
        </w:rPr>
        <w:t xml:space="preserve"> Elektrim</w:t>
      </w:r>
      <w:r w:rsidR="00506997" w:rsidRPr="0057309D">
        <w:rPr>
          <w:bCs/>
          <w:sz w:val="22"/>
          <w:szCs w:val="22"/>
        </w:rPr>
        <w:t xml:space="preserve"> wynoszącej aż 8.825.331.000,00 zł. Skoro zatem na kapitał zakładowy Spółki składało się 83.770.297 akcji, zaś jej kapitały własne stanowiły kwotę 2.142.218.000,00 zł - to wartość jednej akcji Elektrim S.A. w oparciu o najprostszą i najmniej korzystną dla akcjonariuszy wycenę opartą o tzw. podejście majątkowe (suma aktywów netto pomniejszona o skumulowane pasywa obce, tj. kredyty, zobowiązania itp.) nie powinna być w żadnym wypadku niższa niż 25,57 zł za akcję (2.142.218.000,00 zł kapitału własnego / 83.770.297 akcji). </w:t>
      </w:r>
    </w:p>
    <w:p w14:paraId="0FE146BF" w14:textId="77777777" w:rsidR="009D280A" w:rsidRPr="0057309D" w:rsidRDefault="009D280A" w:rsidP="002D5DC0">
      <w:pPr>
        <w:spacing w:line="276" w:lineRule="auto"/>
        <w:jc w:val="both"/>
        <w:rPr>
          <w:bCs/>
          <w:sz w:val="22"/>
          <w:szCs w:val="22"/>
        </w:rPr>
      </w:pPr>
    </w:p>
    <w:p w14:paraId="5063C86E" w14:textId="77777777" w:rsidR="00AB184B" w:rsidRPr="0057309D" w:rsidRDefault="009D280A" w:rsidP="002D5DC0">
      <w:pPr>
        <w:spacing w:line="276" w:lineRule="auto"/>
        <w:jc w:val="both"/>
        <w:rPr>
          <w:bCs/>
          <w:sz w:val="22"/>
          <w:szCs w:val="22"/>
        </w:rPr>
      </w:pPr>
      <w:r w:rsidRPr="0057309D">
        <w:rPr>
          <w:bCs/>
          <w:sz w:val="22"/>
          <w:szCs w:val="22"/>
        </w:rPr>
        <w:t>Podkreślić przy tym należy</w:t>
      </w:r>
      <w:r w:rsidR="00AB184B" w:rsidRPr="0057309D">
        <w:rPr>
          <w:bCs/>
          <w:sz w:val="22"/>
          <w:szCs w:val="22"/>
        </w:rPr>
        <w:t xml:space="preserve">, iż w okresie wezwania (listopad 2007 r.) Spółka posiadała składnik majątku ogromnej wartości, tj. pakiet ponad 50% udziałów w Polskiej Telefonii Cyfrowej sp. z o. o. – operatora sieci komórkowej ERA. </w:t>
      </w:r>
      <w:r w:rsidRPr="0057309D">
        <w:rPr>
          <w:bCs/>
          <w:sz w:val="22"/>
          <w:szCs w:val="22"/>
        </w:rPr>
        <w:t>Rzeczony</w:t>
      </w:r>
      <w:r w:rsidR="00AB184B" w:rsidRPr="0057309D">
        <w:rPr>
          <w:bCs/>
          <w:sz w:val="22"/>
          <w:szCs w:val="22"/>
        </w:rPr>
        <w:t xml:space="preserve"> składnik majątku nie znajdował odpowiedniego odzwierciedlenia w notowaniach giełdowych spółki w związku z toczącym się od 2000 r. sporem Spółki z innymi udziałowcami PTC sp. z o. o. (tj. m. in. francuskie VIVENDI czy niemiecki Deustche Telekom). Niemniej wysokie prawdopodobieństwo pomyślnego dla Spółki zakończenia tego sporu – w pełni uzasadniało wówczas założenie, iż w razie ewentualnej ugody wartość Spółki diametralnie wzrośnie, a jej problemy związane z wierzycielami i zawisłym postępowaniem upadłościowym zostaną rozwiązane.</w:t>
      </w:r>
    </w:p>
    <w:p w14:paraId="1F0D02E6" w14:textId="54BA40D0" w:rsidR="00DF78CE" w:rsidRPr="0057309D" w:rsidRDefault="00AB184B" w:rsidP="002D5DC0">
      <w:pPr>
        <w:spacing w:line="276" w:lineRule="auto"/>
        <w:jc w:val="both"/>
        <w:rPr>
          <w:bCs/>
          <w:sz w:val="22"/>
          <w:szCs w:val="22"/>
        </w:rPr>
      </w:pPr>
      <w:r w:rsidRPr="0057309D">
        <w:rPr>
          <w:bCs/>
          <w:sz w:val="22"/>
          <w:szCs w:val="22"/>
        </w:rPr>
        <w:t xml:space="preserve">Przewidywania akcjonariuszy co do pozytywnych perspektyw zakończenia sporu w sprawie </w:t>
      </w:r>
      <w:r w:rsidRPr="0057309D">
        <w:rPr>
          <w:bCs/>
          <w:sz w:val="22"/>
          <w:szCs w:val="22"/>
        </w:rPr>
        <w:br/>
        <w:t xml:space="preserve">PTC sp. z o. o. okazały się w pełni uzasadnione. Już bowiem w grudniu 2010 r. pomiędzy Spółką, a </w:t>
      </w:r>
      <w:r w:rsidRPr="0057309D">
        <w:rPr>
          <w:bCs/>
          <w:sz w:val="22"/>
          <w:szCs w:val="22"/>
        </w:rPr>
        <w:br/>
        <w:t xml:space="preserve">m. in. Deutsche Telekom Gmbh i Vivendi SA została zawarta ugoda, która zakończyła ponad dziesięcioletni spór dotyczący praw udziałowych w PTC sp. z o. o. </w:t>
      </w:r>
      <w:r w:rsidR="00DF78CE" w:rsidRPr="0057309D">
        <w:rPr>
          <w:bCs/>
          <w:sz w:val="22"/>
          <w:szCs w:val="22"/>
        </w:rPr>
        <w:t>W</w:t>
      </w:r>
      <w:r w:rsidRPr="0057309D">
        <w:rPr>
          <w:bCs/>
          <w:sz w:val="22"/>
          <w:szCs w:val="22"/>
        </w:rPr>
        <w:t xml:space="preserve">ykonanie ugody bardzo korzystnie wpłynęło na kondycję finansową Spółki. Ugoda skutkowała bowiem po stronie Spółki powstaniem przychodu ze sprzedaży udziałów </w:t>
      </w:r>
      <w:r w:rsidR="00EC4DA4" w:rsidRPr="0057309D">
        <w:rPr>
          <w:bCs/>
          <w:sz w:val="22"/>
          <w:szCs w:val="22"/>
        </w:rPr>
        <w:t xml:space="preserve">w </w:t>
      </w:r>
      <w:r w:rsidRPr="0057309D">
        <w:rPr>
          <w:bCs/>
          <w:sz w:val="22"/>
          <w:szCs w:val="22"/>
        </w:rPr>
        <w:t>PTC sp.  z o. o. oraz wypłat</w:t>
      </w:r>
      <w:r w:rsidR="00395E5A" w:rsidRPr="0057309D">
        <w:rPr>
          <w:bCs/>
          <w:sz w:val="22"/>
          <w:szCs w:val="22"/>
        </w:rPr>
        <w:t>ą</w:t>
      </w:r>
      <w:r w:rsidRPr="0057309D">
        <w:rPr>
          <w:bCs/>
          <w:sz w:val="22"/>
          <w:szCs w:val="22"/>
        </w:rPr>
        <w:t xml:space="preserve"> odpowiedniej części dywidendy</w:t>
      </w:r>
      <w:r w:rsidR="00EC4DA4" w:rsidRPr="0057309D">
        <w:rPr>
          <w:bCs/>
          <w:sz w:val="22"/>
          <w:szCs w:val="22"/>
        </w:rPr>
        <w:t xml:space="preserve"> z</w:t>
      </w:r>
      <w:r w:rsidRPr="0057309D">
        <w:rPr>
          <w:bCs/>
          <w:sz w:val="22"/>
          <w:szCs w:val="22"/>
        </w:rPr>
        <w:t xml:space="preserve"> PTC </w:t>
      </w:r>
      <w:r w:rsidR="00EC4DA4" w:rsidRPr="0057309D">
        <w:rPr>
          <w:bCs/>
          <w:sz w:val="22"/>
          <w:szCs w:val="22"/>
        </w:rPr>
        <w:t xml:space="preserve">sp.  z o. o. </w:t>
      </w:r>
      <w:r w:rsidRPr="0057309D">
        <w:rPr>
          <w:bCs/>
          <w:sz w:val="22"/>
          <w:szCs w:val="22"/>
        </w:rPr>
        <w:t xml:space="preserve">z lat poprzednich w wysokości </w:t>
      </w:r>
      <w:r w:rsidR="00401153">
        <w:rPr>
          <w:bCs/>
          <w:sz w:val="22"/>
          <w:szCs w:val="22"/>
        </w:rPr>
        <w:t xml:space="preserve">8 </w:t>
      </w:r>
      <w:r w:rsidRPr="0057309D">
        <w:rPr>
          <w:bCs/>
          <w:sz w:val="22"/>
          <w:szCs w:val="22"/>
        </w:rPr>
        <w:t>miliardów złotych (należnej spółce jako jednemu z udziałowców). Jak bowiem wynika z treści wyroku WSA w Warszawie z dnia 31 marca</w:t>
      </w:r>
      <w:r w:rsidR="00CC3F62" w:rsidRPr="0057309D">
        <w:rPr>
          <w:bCs/>
          <w:sz w:val="22"/>
          <w:szCs w:val="22"/>
        </w:rPr>
        <w:br/>
      </w:r>
      <w:r w:rsidRPr="0057309D">
        <w:rPr>
          <w:bCs/>
          <w:sz w:val="22"/>
          <w:szCs w:val="22"/>
        </w:rPr>
        <w:t>2017</w:t>
      </w:r>
      <w:r w:rsidR="001413D4" w:rsidRPr="0057309D">
        <w:rPr>
          <w:bCs/>
          <w:sz w:val="22"/>
          <w:szCs w:val="22"/>
        </w:rPr>
        <w:t xml:space="preserve"> r.</w:t>
      </w:r>
      <w:r w:rsidRPr="0057309D">
        <w:rPr>
          <w:bCs/>
          <w:sz w:val="22"/>
          <w:szCs w:val="22"/>
        </w:rPr>
        <w:t xml:space="preserve"> sygn. akt III SA/Wa 239/17 przychód z tytułu przedmiotowej ugody w latach 2006-2011 sięgnął kwoty 1,45 miliarda euro. Oznacza to, że przedmiotowa ugoda wygenerowała dla Spółki jednorazowy przychód na poziomie ok. 77,59 zł za akcję [(1,45 mld euro</w:t>
      </w:r>
      <w:r w:rsidR="00B63D44">
        <w:rPr>
          <w:bCs/>
          <w:sz w:val="22"/>
          <w:szCs w:val="22"/>
        </w:rPr>
        <w:t xml:space="preserve"> x </w:t>
      </w:r>
      <w:r w:rsidRPr="0057309D">
        <w:rPr>
          <w:bCs/>
          <w:sz w:val="22"/>
          <w:szCs w:val="22"/>
        </w:rPr>
        <w:t>4,5 kur / 83.770.297 szt. akcji spółki ogółem).</w:t>
      </w:r>
      <w:r w:rsidR="00A97218" w:rsidRPr="0057309D">
        <w:rPr>
          <w:bCs/>
          <w:sz w:val="22"/>
          <w:szCs w:val="22"/>
        </w:rPr>
        <w:t xml:space="preserve"> </w:t>
      </w:r>
      <w:r w:rsidRPr="0057309D">
        <w:rPr>
          <w:bCs/>
          <w:sz w:val="22"/>
          <w:szCs w:val="22"/>
        </w:rPr>
        <w:t>W wyniku ugody Spółka spłaciła swoich wierzycieli i obligatariuszy, a już w grudniu 31 grudnia</w:t>
      </w:r>
      <w:r w:rsidR="00E8436E" w:rsidRPr="0057309D">
        <w:rPr>
          <w:bCs/>
          <w:sz w:val="22"/>
          <w:szCs w:val="22"/>
        </w:rPr>
        <w:t xml:space="preserve"> </w:t>
      </w:r>
      <w:r w:rsidRPr="0057309D">
        <w:rPr>
          <w:bCs/>
          <w:sz w:val="22"/>
          <w:szCs w:val="22"/>
        </w:rPr>
        <w:t>2010 r. uprawomocniło się postanowienie o umorzeniu postępowania upadłościowego</w:t>
      </w:r>
      <w:r w:rsidR="00A97218" w:rsidRPr="0057309D">
        <w:rPr>
          <w:bCs/>
          <w:sz w:val="22"/>
          <w:szCs w:val="22"/>
        </w:rPr>
        <w:t xml:space="preserve"> Spółki</w:t>
      </w:r>
      <w:r w:rsidRPr="0057309D">
        <w:rPr>
          <w:bCs/>
          <w:sz w:val="22"/>
          <w:szCs w:val="22"/>
        </w:rPr>
        <w:t>.</w:t>
      </w:r>
    </w:p>
    <w:p w14:paraId="5134EA5A" w14:textId="77777777" w:rsidR="00DF78CE" w:rsidRPr="0057309D" w:rsidRDefault="00DF78CE" w:rsidP="002D5DC0">
      <w:pPr>
        <w:spacing w:line="276" w:lineRule="auto"/>
        <w:jc w:val="both"/>
        <w:rPr>
          <w:bCs/>
          <w:sz w:val="22"/>
          <w:szCs w:val="22"/>
        </w:rPr>
      </w:pPr>
    </w:p>
    <w:p w14:paraId="760F4C65" w14:textId="38339C2C" w:rsidR="002679D4" w:rsidRPr="0057309D" w:rsidRDefault="00DF78CE" w:rsidP="002D5DC0">
      <w:pPr>
        <w:spacing w:line="276" w:lineRule="auto"/>
        <w:jc w:val="both"/>
        <w:rPr>
          <w:sz w:val="22"/>
          <w:szCs w:val="22"/>
        </w:rPr>
      </w:pPr>
      <w:r w:rsidRPr="0057309D">
        <w:rPr>
          <w:sz w:val="22"/>
          <w:szCs w:val="22"/>
        </w:rPr>
        <w:t xml:space="preserve">Wobec powyżej opisanych okoliczności, a także mają na uwadze na bardzo niską cenę wezwania </w:t>
      </w:r>
      <w:r w:rsidR="00A97218" w:rsidRPr="0057309D">
        <w:rPr>
          <w:sz w:val="22"/>
          <w:szCs w:val="22"/>
        </w:rPr>
        <w:t xml:space="preserve">z </w:t>
      </w:r>
      <w:r w:rsidR="00C43E13" w:rsidRPr="0057309D">
        <w:rPr>
          <w:sz w:val="22"/>
          <w:szCs w:val="22"/>
        </w:rPr>
        <w:br/>
      </w:r>
      <w:r w:rsidR="00A97218" w:rsidRPr="0057309D">
        <w:rPr>
          <w:sz w:val="22"/>
          <w:szCs w:val="22"/>
        </w:rPr>
        <w:t xml:space="preserve">2007 r. </w:t>
      </w:r>
      <w:r w:rsidRPr="0057309D">
        <w:rPr>
          <w:sz w:val="22"/>
          <w:szCs w:val="22"/>
        </w:rPr>
        <w:t xml:space="preserve">nie </w:t>
      </w:r>
      <w:r w:rsidR="004770C3" w:rsidRPr="0057309D">
        <w:rPr>
          <w:sz w:val="22"/>
          <w:szCs w:val="22"/>
        </w:rPr>
        <w:t xml:space="preserve">dziwi zatem okoliczność, iż </w:t>
      </w:r>
      <w:r w:rsidRPr="0057309D">
        <w:rPr>
          <w:sz w:val="22"/>
          <w:szCs w:val="22"/>
        </w:rPr>
        <w:t xml:space="preserve">wielu akcjonariuszy </w:t>
      </w:r>
      <w:r w:rsidR="004770C3" w:rsidRPr="0057309D">
        <w:rPr>
          <w:sz w:val="22"/>
          <w:szCs w:val="22"/>
        </w:rPr>
        <w:t xml:space="preserve">mniejszościowych </w:t>
      </w:r>
      <w:r w:rsidRPr="0057309D">
        <w:rPr>
          <w:sz w:val="22"/>
          <w:szCs w:val="22"/>
        </w:rPr>
        <w:t xml:space="preserve">nie skorzystało </w:t>
      </w:r>
      <w:r w:rsidR="00A836C4" w:rsidRPr="0057309D">
        <w:rPr>
          <w:sz w:val="22"/>
          <w:szCs w:val="22"/>
        </w:rPr>
        <w:t xml:space="preserve">wówczas </w:t>
      </w:r>
      <w:r w:rsidRPr="0057309D">
        <w:rPr>
          <w:sz w:val="22"/>
          <w:szCs w:val="22"/>
        </w:rPr>
        <w:t>z oferty</w:t>
      </w:r>
      <w:r w:rsidR="004770C3" w:rsidRPr="0057309D">
        <w:rPr>
          <w:sz w:val="22"/>
          <w:szCs w:val="22"/>
        </w:rPr>
        <w:t xml:space="preserve"> głównego akcjonariusza zawartej w wezwaniu. </w:t>
      </w:r>
      <w:r w:rsidR="00FC72C2" w:rsidRPr="0057309D">
        <w:rPr>
          <w:sz w:val="22"/>
          <w:szCs w:val="22"/>
        </w:rPr>
        <w:t xml:space="preserve">Podkreślić należy, iż wedle pozyskanej przez Porozumienie listy akcjonariuszy Spółki sporządzonej przez KDPW – ogólna liczba akcjonariuszy pozostałych </w:t>
      </w:r>
      <w:r w:rsidR="00E8436E" w:rsidRPr="0057309D">
        <w:rPr>
          <w:sz w:val="22"/>
          <w:szCs w:val="22"/>
        </w:rPr>
        <w:t xml:space="preserve">aktualnie </w:t>
      </w:r>
      <w:r w:rsidR="00FC72C2" w:rsidRPr="0057309D">
        <w:rPr>
          <w:sz w:val="22"/>
          <w:szCs w:val="22"/>
        </w:rPr>
        <w:t>w Spółce przekracza</w:t>
      </w:r>
      <w:r w:rsidR="00AB405C" w:rsidRPr="0057309D">
        <w:rPr>
          <w:sz w:val="22"/>
          <w:szCs w:val="22"/>
        </w:rPr>
        <w:t xml:space="preserve"> </w:t>
      </w:r>
      <w:r w:rsidR="00FC72C2" w:rsidRPr="0057309D">
        <w:rPr>
          <w:sz w:val="22"/>
          <w:szCs w:val="22"/>
        </w:rPr>
        <w:t>8</w:t>
      </w:r>
      <w:r w:rsidR="00E6231C" w:rsidRPr="0057309D">
        <w:rPr>
          <w:sz w:val="22"/>
          <w:szCs w:val="22"/>
        </w:rPr>
        <w:t>.000 osób.</w:t>
      </w:r>
      <w:r w:rsidR="00AB405C" w:rsidRPr="0057309D">
        <w:rPr>
          <w:sz w:val="22"/>
          <w:szCs w:val="22"/>
        </w:rPr>
        <w:t xml:space="preserve"> Stąd też grono osób potencjalnie pokrzywdzonych zaistniałą sytuacją pozostaje</w:t>
      </w:r>
      <w:r w:rsidR="000C56B2" w:rsidRPr="0057309D">
        <w:rPr>
          <w:sz w:val="22"/>
          <w:szCs w:val="22"/>
        </w:rPr>
        <w:t xml:space="preserve"> </w:t>
      </w:r>
      <w:r w:rsidR="005D0E4D">
        <w:rPr>
          <w:sz w:val="22"/>
          <w:szCs w:val="22"/>
        </w:rPr>
        <w:t>bardzo</w:t>
      </w:r>
      <w:r w:rsidR="005D0E4D" w:rsidRPr="0057309D">
        <w:rPr>
          <w:sz w:val="22"/>
          <w:szCs w:val="22"/>
        </w:rPr>
        <w:t xml:space="preserve"> </w:t>
      </w:r>
      <w:r w:rsidR="00AB405C" w:rsidRPr="0057309D">
        <w:rPr>
          <w:sz w:val="22"/>
          <w:szCs w:val="22"/>
        </w:rPr>
        <w:t>szerokie.</w:t>
      </w:r>
    </w:p>
    <w:p w14:paraId="43F2A664" w14:textId="77777777" w:rsidR="002679D4" w:rsidRPr="0057309D" w:rsidRDefault="002679D4" w:rsidP="002D5DC0">
      <w:pPr>
        <w:spacing w:line="276" w:lineRule="auto"/>
        <w:jc w:val="both"/>
        <w:rPr>
          <w:sz w:val="22"/>
          <w:szCs w:val="22"/>
        </w:rPr>
      </w:pPr>
    </w:p>
    <w:p w14:paraId="4EE63327" w14:textId="6F5B5FDC" w:rsidR="00BC3C28" w:rsidRPr="0057309D" w:rsidRDefault="00E25044" w:rsidP="002D5DC0">
      <w:pPr>
        <w:spacing w:line="276" w:lineRule="auto"/>
        <w:jc w:val="both"/>
        <w:rPr>
          <w:bCs/>
          <w:sz w:val="22"/>
          <w:szCs w:val="22"/>
        </w:rPr>
      </w:pPr>
      <w:r w:rsidRPr="0057309D">
        <w:rPr>
          <w:sz w:val="22"/>
          <w:szCs w:val="22"/>
        </w:rPr>
        <w:t>Upływ czasu</w:t>
      </w:r>
      <w:r w:rsidR="004770C3" w:rsidRPr="0057309D">
        <w:rPr>
          <w:bCs/>
          <w:sz w:val="22"/>
          <w:szCs w:val="22"/>
        </w:rPr>
        <w:t xml:space="preserve"> pokazał, iż s</w:t>
      </w:r>
      <w:r w:rsidR="00AB184B" w:rsidRPr="0057309D">
        <w:rPr>
          <w:bCs/>
          <w:sz w:val="22"/>
          <w:szCs w:val="22"/>
        </w:rPr>
        <w:t>łuszne okazały się przewidywania akcjonariuszy</w:t>
      </w:r>
      <w:r w:rsidR="00DF78CE" w:rsidRPr="0057309D">
        <w:rPr>
          <w:bCs/>
          <w:sz w:val="22"/>
          <w:szCs w:val="22"/>
        </w:rPr>
        <w:t xml:space="preserve"> leżące u podstaw odmowy przyjęcia wezwania głównego akcjonariusza</w:t>
      </w:r>
      <w:r w:rsidR="00AB184B" w:rsidRPr="0057309D">
        <w:rPr>
          <w:bCs/>
          <w:sz w:val="22"/>
          <w:szCs w:val="22"/>
        </w:rPr>
        <w:t>, iż Spółce uda się uniknąć upadłości, które to zagrożenie warunkowało zaniżoną wycenę w ostatnich miesiącach notowań na GPW.</w:t>
      </w:r>
      <w:r w:rsidR="002679D4" w:rsidRPr="0057309D">
        <w:rPr>
          <w:bCs/>
          <w:i/>
          <w:iCs/>
          <w:sz w:val="22"/>
          <w:szCs w:val="22"/>
        </w:rPr>
        <w:t xml:space="preserve"> </w:t>
      </w:r>
      <w:r w:rsidR="00FB079B" w:rsidRPr="0057309D">
        <w:rPr>
          <w:bCs/>
          <w:sz w:val="22"/>
          <w:szCs w:val="22"/>
        </w:rPr>
        <w:t>Po spłaceniu wierzycieli, w tym w szczególności obligatariuszy, postępowanie upadłościowe Spółki zostało umorzone. Niestety akcjonariusze nie przewidzieli, że pomimo</w:t>
      </w:r>
      <w:r w:rsidR="00BC3C28" w:rsidRPr="0057309D">
        <w:rPr>
          <w:bCs/>
          <w:sz w:val="22"/>
          <w:szCs w:val="22"/>
        </w:rPr>
        <w:t xml:space="preserve"> </w:t>
      </w:r>
      <w:r w:rsidR="00082F28" w:rsidRPr="0057309D">
        <w:rPr>
          <w:bCs/>
          <w:sz w:val="22"/>
          <w:szCs w:val="22"/>
        </w:rPr>
        <w:t xml:space="preserve">bardzo </w:t>
      </w:r>
      <w:r w:rsidR="00BC3C28" w:rsidRPr="0057309D">
        <w:rPr>
          <w:bCs/>
          <w:sz w:val="22"/>
          <w:szCs w:val="22"/>
        </w:rPr>
        <w:t xml:space="preserve">pomyślnych dla Spółki okoliczności, w tym </w:t>
      </w:r>
      <w:r w:rsidR="008523BA" w:rsidRPr="0057309D">
        <w:rPr>
          <w:bCs/>
          <w:sz w:val="22"/>
          <w:szCs w:val="22"/>
        </w:rPr>
        <w:t>satysfakcjonującej</w:t>
      </w:r>
      <w:r w:rsidR="00BC3C28" w:rsidRPr="0057309D">
        <w:rPr>
          <w:bCs/>
          <w:sz w:val="22"/>
          <w:szCs w:val="22"/>
        </w:rPr>
        <w:t xml:space="preserve"> ugody</w:t>
      </w:r>
      <w:r w:rsidR="00B65637" w:rsidRPr="0057309D">
        <w:rPr>
          <w:bCs/>
          <w:sz w:val="22"/>
          <w:szCs w:val="22"/>
        </w:rPr>
        <w:t xml:space="preserve"> oraz</w:t>
      </w:r>
      <w:r w:rsidR="00FB079B" w:rsidRPr="0057309D">
        <w:rPr>
          <w:bCs/>
          <w:sz w:val="22"/>
          <w:szCs w:val="22"/>
        </w:rPr>
        <w:t xml:space="preserve"> umorzenia postępowania upadłościowego</w:t>
      </w:r>
      <w:r w:rsidR="00B65637" w:rsidRPr="0057309D">
        <w:rPr>
          <w:bCs/>
          <w:sz w:val="22"/>
          <w:szCs w:val="22"/>
        </w:rPr>
        <w:t xml:space="preserve"> -</w:t>
      </w:r>
      <w:r w:rsidR="00FB079B" w:rsidRPr="0057309D">
        <w:rPr>
          <w:bCs/>
          <w:sz w:val="22"/>
          <w:szCs w:val="22"/>
        </w:rPr>
        <w:t xml:space="preserve"> </w:t>
      </w:r>
      <w:r w:rsidR="00AD6612" w:rsidRPr="0057309D">
        <w:rPr>
          <w:bCs/>
          <w:sz w:val="22"/>
          <w:szCs w:val="22"/>
        </w:rPr>
        <w:t>Spółka</w:t>
      </w:r>
      <w:r w:rsidR="00FB079B" w:rsidRPr="0057309D">
        <w:rPr>
          <w:bCs/>
          <w:sz w:val="22"/>
          <w:szCs w:val="22"/>
        </w:rPr>
        <w:t xml:space="preserve"> nie podejmie starań celem powrotu na GPW</w:t>
      </w:r>
      <w:r w:rsidR="00BC3C28" w:rsidRPr="0057309D">
        <w:rPr>
          <w:bCs/>
          <w:sz w:val="22"/>
          <w:szCs w:val="22"/>
        </w:rPr>
        <w:t xml:space="preserve">.  Dodatkowo, wobec uzyskania pełnej i niekwestionowanej większości przez głównego akcjonariusza, nie był on zainteresowany przejęciem </w:t>
      </w:r>
      <w:r w:rsidR="00AD6612" w:rsidRPr="0057309D">
        <w:rPr>
          <w:bCs/>
          <w:sz w:val="22"/>
          <w:szCs w:val="22"/>
        </w:rPr>
        <w:t xml:space="preserve">akcji </w:t>
      </w:r>
      <w:r w:rsidR="00BC3C28" w:rsidRPr="0057309D">
        <w:rPr>
          <w:bCs/>
          <w:sz w:val="22"/>
          <w:szCs w:val="22"/>
        </w:rPr>
        <w:t>pozostałego w spółce rozproszonego</w:t>
      </w:r>
      <w:r w:rsidR="00AD6612" w:rsidRPr="0057309D">
        <w:rPr>
          <w:bCs/>
          <w:sz w:val="22"/>
          <w:szCs w:val="22"/>
        </w:rPr>
        <w:t xml:space="preserve"> akcjonariatu mniejszościow</w:t>
      </w:r>
      <w:r w:rsidR="00C82122" w:rsidRPr="0057309D">
        <w:rPr>
          <w:bCs/>
          <w:sz w:val="22"/>
          <w:szCs w:val="22"/>
        </w:rPr>
        <w:t>ego</w:t>
      </w:r>
      <w:r w:rsidR="00DD3A9E" w:rsidRPr="0057309D">
        <w:rPr>
          <w:bCs/>
          <w:sz w:val="22"/>
          <w:szCs w:val="22"/>
        </w:rPr>
        <w:t xml:space="preserve"> za </w:t>
      </w:r>
      <w:r w:rsidR="00E51798" w:rsidRPr="0057309D">
        <w:rPr>
          <w:sz w:val="22"/>
          <w:szCs w:val="22"/>
        </w:rPr>
        <w:t>faktyczną wartość Spółki</w:t>
      </w:r>
      <w:r w:rsidR="007C4C0D" w:rsidRPr="0057309D">
        <w:rPr>
          <w:bCs/>
          <w:sz w:val="22"/>
          <w:szCs w:val="22"/>
        </w:rPr>
        <w:t xml:space="preserve">, przy czym </w:t>
      </w:r>
      <w:r w:rsidR="00DD3A9E" w:rsidRPr="0057309D">
        <w:rPr>
          <w:bCs/>
          <w:sz w:val="22"/>
          <w:szCs w:val="22"/>
        </w:rPr>
        <w:t>brak takiego zainteresowania utrzymał się do czasów obecnych.</w:t>
      </w:r>
    </w:p>
    <w:p w14:paraId="70453D6D" w14:textId="77777777" w:rsidR="002679D4" w:rsidRPr="0057309D" w:rsidRDefault="002679D4" w:rsidP="002D5DC0">
      <w:pPr>
        <w:spacing w:line="276" w:lineRule="auto"/>
        <w:jc w:val="both"/>
        <w:rPr>
          <w:bCs/>
          <w:sz w:val="22"/>
          <w:szCs w:val="22"/>
        </w:rPr>
      </w:pPr>
    </w:p>
    <w:p w14:paraId="2B526BC5" w14:textId="77777777" w:rsidR="00D93010" w:rsidRPr="0057309D" w:rsidRDefault="00256E67" w:rsidP="002D5DC0">
      <w:pPr>
        <w:spacing w:line="276" w:lineRule="auto"/>
        <w:jc w:val="both"/>
        <w:rPr>
          <w:sz w:val="22"/>
          <w:szCs w:val="22"/>
        </w:rPr>
      </w:pPr>
      <w:r w:rsidRPr="0057309D">
        <w:rPr>
          <w:bCs/>
          <w:sz w:val="22"/>
          <w:szCs w:val="22"/>
        </w:rPr>
        <w:t>W związku z powyższym</w:t>
      </w:r>
      <w:r w:rsidR="00FB079B" w:rsidRPr="0057309D">
        <w:rPr>
          <w:bCs/>
          <w:sz w:val="22"/>
          <w:szCs w:val="22"/>
        </w:rPr>
        <w:t xml:space="preserve"> </w:t>
      </w:r>
      <w:r w:rsidRPr="0057309D">
        <w:rPr>
          <w:bCs/>
          <w:sz w:val="22"/>
          <w:szCs w:val="22"/>
        </w:rPr>
        <w:t>główną</w:t>
      </w:r>
      <w:r w:rsidR="002679D4" w:rsidRPr="0057309D">
        <w:rPr>
          <w:bCs/>
          <w:sz w:val="22"/>
          <w:szCs w:val="22"/>
        </w:rPr>
        <w:t xml:space="preserve"> przyczyną</w:t>
      </w:r>
      <w:r w:rsidR="00FB079B" w:rsidRPr="0057309D">
        <w:rPr>
          <w:bCs/>
          <w:sz w:val="22"/>
          <w:szCs w:val="22"/>
        </w:rPr>
        <w:t xml:space="preserve"> obecnych problemów akcjonariuszy</w:t>
      </w:r>
      <w:r w:rsidR="00BC3C28" w:rsidRPr="0057309D">
        <w:rPr>
          <w:bCs/>
          <w:sz w:val="22"/>
          <w:szCs w:val="22"/>
        </w:rPr>
        <w:t xml:space="preserve"> mniejszościo</w:t>
      </w:r>
      <w:r w:rsidR="008A5134" w:rsidRPr="0057309D">
        <w:rPr>
          <w:bCs/>
          <w:sz w:val="22"/>
          <w:szCs w:val="22"/>
        </w:rPr>
        <w:t>wych</w:t>
      </w:r>
      <w:r w:rsidR="002A3798" w:rsidRPr="0057309D">
        <w:rPr>
          <w:bCs/>
          <w:sz w:val="22"/>
          <w:szCs w:val="22"/>
        </w:rPr>
        <w:t xml:space="preserve"> </w:t>
      </w:r>
      <w:r w:rsidR="00AA4B45" w:rsidRPr="0057309D">
        <w:rPr>
          <w:bCs/>
          <w:sz w:val="22"/>
          <w:szCs w:val="22"/>
        </w:rPr>
        <w:t>Spółki</w:t>
      </w:r>
      <w:r w:rsidR="002A3798" w:rsidRPr="0057309D">
        <w:rPr>
          <w:bCs/>
          <w:sz w:val="22"/>
          <w:szCs w:val="22"/>
        </w:rPr>
        <w:t xml:space="preserve"> </w:t>
      </w:r>
      <w:r w:rsidR="00AA4B45" w:rsidRPr="0057309D">
        <w:rPr>
          <w:bCs/>
          <w:sz w:val="22"/>
          <w:szCs w:val="22"/>
        </w:rPr>
        <w:t>pozostaje</w:t>
      </w:r>
      <w:r w:rsidR="00FB079B" w:rsidRPr="0057309D">
        <w:rPr>
          <w:bCs/>
          <w:sz w:val="22"/>
          <w:szCs w:val="22"/>
        </w:rPr>
        <w:t xml:space="preserve"> niewykonanie</w:t>
      </w:r>
      <w:r w:rsidR="004A17AC" w:rsidRPr="0057309D">
        <w:rPr>
          <w:bCs/>
          <w:sz w:val="22"/>
          <w:szCs w:val="22"/>
        </w:rPr>
        <w:t xml:space="preserve"> przez głównego akcjonariusza i zarząd Spółki</w:t>
      </w:r>
      <w:r w:rsidR="00FB079B" w:rsidRPr="0057309D">
        <w:rPr>
          <w:bCs/>
          <w:sz w:val="22"/>
          <w:szCs w:val="22"/>
        </w:rPr>
        <w:t xml:space="preserve"> zobowiązania </w:t>
      </w:r>
      <w:r w:rsidR="001309B1" w:rsidRPr="0057309D">
        <w:rPr>
          <w:bCs/>
          <w:sz w:val="22"/>
          <w:szCs w:val="22"/>
        </w:rPr>
        <w:t xml:space="preserve">Zarządu </w:t>
      </w:r>
      <w:r w:rsidR="00FB079B" w:rsidRPr="0057309D">
        <w:rPr>
          <w:bCs/>
          <w:sz w:val="22"/>
          <w:szCs w:val="22"/>
        </w:rPr>
        <w:t xml:space="preserve">GPW S.A. </w:t>
      </w:r>
      <w:r w:rsidR="004A17AC" w:rsidRPr="0057309D">
        <w:rPr>
          <w:bCs/>
          <w:sz w:val="22"/>
          <w:szCs w:val="22"/>
        </w:rPr>
        <w:t>w przedmiocie powrotu Spółki</w:t>
      </w:r>
      <w:r w:rsidR="00FB079B" w:rsidRPr="0057309D">
        <w:rPr>
          <w:bCs/>
          <w:sz w:val="22"/>
          <w:szCs w:val="22"/>
        </w:rPr>
        <w:t xml:space="preserve"> na Giełdę. </w:t>
      </w:r>
      <w:r w:rsidR="002A2A22" w:rsidRPr="0057309D">
        <w:rPr>
          <w:sz w:val="22"/>
          <w:szCs w:val="22"/>
        </w:rPr>
        <w:t>Skutkiem nieobecności Spółki na rynku regulowanym jest natomiast zarówno znaczne ograniczenie obowiązków informacyjnych Spółki wobec inwestorów, jak też faktyczne ograniczeni</w:t>
      </w:r>
      <w:r w:rsidR="005D572E" w:rsidRPr="0057309D">
        <w:rPr>
          <w:sz w:val="22"/>
          <w:szCs w:val="22"/>
        </w:rPr>
        <w:t>a</w:t>
      </w:r>
      <w:r w:rsidR="002A2A22" w:rsidRPr="0057309D">
        <w:rPr>
          <w:sz w:val="22"/>
          <w:szCs w:val="22"/>
        </w:rPr>
        <w:t xml:space="preserve"> obrotu akcjami przez akcjonariuszy mniejszościowych. </w:t>
      </w:r>
      <w:r w:rsidR="00467400" w:rsidRPr="0057309D">
        <w:rPr>
          <w:sz w:val="22"/>
          <w:szCs w:val="22"/>
        </w:rPr>
        <w:t>Dodatkowo wskutek nieobecności na Giełdzie - standardy Spółki w zakresie transparentności, polityki informacyjnej oraz zarządzania uległy obniżeniu</w:t>
      </w:r>
      <w:r w:rsidR="003C670D" w:rsidRPr="0057309D">
        <w:rPr>
          <w:sz w:val="22"/>
          <w:szCs w:val="22"/>
        </w:rPr>
        <w:t>.</w:t>
      </w:r>
      <w:r w:rsidR="002C6CDF" w:rsidRPr="0057309D">
        <w:rPr>
          <w:sz w:val="22"/>
          <w:szCs w:val="22"/>
        </w:rPr>
        <w:t xml:space="preserve"> Brak transparentności w działaniach organów Spółki </w:t>
      </w:r>
      <w:r w:rsidR="0024603B" w:rsidRPr="0057309D">
        <w:rPr>
          <w:sz w:val="22"/>
          <w:szCs w:val="22"/>
        </w:rPr>
        <w:t xml:space="preserve">dodatkowo </w:t>
      </w:r>
      <w:r w:rsidR="002C6CDF" w:rsidRPr="0057309D">
        <w:rPr>
          <w:sz w:val="22"/>
          <w:szCs w:val="22"/>
        </w:rPr>
        <w:t>wpływa na ograniczenie zbywalności akcji na wolnym rynku za cenę odzwierciedlającą faktyczną wartość Spółki i należących do niej pozostałych spółek Grupy Elektrim</w:t>
      </w:r>
      <w:r w:rsidR="00867900" w:rsidRPr="0057309D">
        <w:rPr>
          <w:sz w:val="22"/>
          <w:szCs w:val="22"/>
        </w:rPr>
        <w:t>. Okoliczność ta</w:t>
      </w:r>
      <w:r w:rsidR="0024603B" w:rsidRPr="0057309D">
        <w:rPr>
          <w:sz w:val="22"/>
          <w:szCs w:val="22"/>
        </w:rPr>
        <w:t xml:space="preserve"> również prowadzi do pogorszenia sytuacji akcjonariuszy mniejszościowych.</w:t>
      </w:r>
    </w:p>
    <w:p w14:paraId="13FD3112" w14:textId="77777777" w:rsidR="00D93010" w:rsidRPr="0057309D" w:rsidRDefault="00D93010" w:rsidP="002D5DC0">
      <w:pPr>
        <w:spacing w:line="276" w:lineRule="auto"/>
        <w:jc w:val="both"/>
        <w:rPr>
          <w:sz w:val="22"/>
          <w:szCs w:val="22"/>
        </w:rPr>
      </w:pPr>
    </w:p>
    <w:p w14:paraId="73504478" w14:textId="77777777" w:rsidR="00D93010" w:rsidRPr="0057309D" w:rsidRDefault="002A2A22" w:rsidP="002D5DC0">
      <w:pPr>
        <w:spacing w:line="276" w:lineRule="auto"/>
        <w:jc w:val="both"/>
        <w:rPr>
          <w:sz w:val="22"/>
          <w:szCs w:val="22"/>
        </w:rPr>
      </w:pPr>
      <w:r w:rsidRPr="0057309D">
        <w:rPr>
          <w:sz w:val="22"/>
          <w:szCs w:val="22"/>
        </w:rPr>
        <w:t>W związku z powyż</w:t>
      </w:r>
      <w:r w:rsidR="00717D4C" w:rsidRPr="0057309D">
        <w:rPr>
          <w:sz w:val="22"/>
          <w:szCs w:val="22"/>
        </w:rPr>
        <w:t>ej przedstawionymi okolicznościami</w:t>
      </w:r>
      <w:r w:rsidRPr="0057309D">
        <w:rPr>
          <w:sz w:val="22"/>
          <w:szCs w:val="22"/>
        </w:rPr>
        <w:t xml:space="preserve"> </w:t>
      </w:r>
      <w:r w:rsidR="00B43305" w:rsidRPr="0057309D">
        <w:rPr>
          <w:sz w:val="22"/>
          <w:szCs w:val="22"/>
        </w:rPr>
        <w:t xml:space="preserve">stwierdzić należy, iż </w:t>
      </w:r>
      <w:r w:rsidRPr="0057309D">
        <w:rPr>
          <w:sz w:val="22"/>
          <w:szCs w:val="22"/>
        </w:rPr>
        <w:t xml:space="preserve">akcjonariusze mniejszościowi </w:t>
      </w:r>
      <w:r w:rsidR="00D93010" w:rsidRPr="0057309D">
        <w:rPr>
          <w:sz w:val="22"/>
          <w:szCs w:val="22"/>
        </w:rPr>
        <w:t xml:space="preserve">Spółki </w:t>
      </w:r>
      <w:r w:rsidRPr="0057309D">
        <w:rPr>
          <w:sz w:val="22"/>
          <w:szCs w:val="22"/>
        </w:rPr>
        <w:t>od ponad 1</w:t>
      </w:r>
      <w:r w:rsidR="008366AF" w:rsidRPr="0057309D">
        <w:rPr>
          <w:sz w:val="22"/>
          <w:szCs w:val="22"/>
        </w:rPr>
        <w:t>2</w:t>
      </w:r>
      <w:r w:rsidRPr="0057309D">
        <w:rPr>
          <w:sz w:val="22"/>
          <w:szCs w:val="22"/>
        </w:rPr>
        <w:t xml:space="preserve"> lat pozbawieni są możliwości zbycia posiadanych przez siebie akcji za cenę zbliżoną do rzeczywistej wartości Spółki, a w konsekwencji pozostają pozbawieni dostępu do swojego majątku.</w:t>
      </w:r>
      <w:r w:rsidR="00D93010" w:rsidRPr="0057309D">
        <w:rPr>
          <w:sz w:val="22"/>
          <w:szCs w:val="22"/>
        </w:rPr>
        <w:t xml:space="preserve"> </w:t>
      </w:r>
      <w:r w:rsidR="00717D4C" w:rsidRPr="0057309D">
        <w:rPr>
          <w:sz w:val="22"/>
          <w:szCs w:val="22"/>
        </w:rPr>
        <w:t>Pomimo podejmowanych starań i próby</w:t>
      </w:r>
      <w:r w:rsidR="00372240" w:rsidRPr="0057309D">
        <w:rPr>
          <w:sz w:val="22"/>
          <w:szCs w:val="22"/>
        </w:rPr>
        <w:t xml:space="preserve"> szerokiego</w:t>
      </w:r>
      <w:r w:rsidR="00717D4C" w:rsidRPr="0057309D">
        <w:rPr>
          <w:sz w:val="22"/>
          <w:szCs w:val="22"/>
        </w:rPr>
        <w:t xml:space="preserve"> wykorzystywania dostępnych instrumentów prawnych </w:t>
      </w:r>
      <w:r w:rsidR="00A755A4" w:rsidRPr="0057309D">
        <w:rPr>
          <w:sz w:val="22"/>
          <w:szCs w:val="22"/>
        </w:rPr>
        <w:t>–</w:t>
      </w:r>
      <w:r w:rsidR="00717D4C" w:rsidRPr="0057309D">
        <w:rPr>
          <w:sz w:val="22"/>
          <w:szCs w:val="22"/>
        </w:rPr>
        <w:t xml:space="preserve"> </w:t>
      </w:r>
      <w:r w:rsidR="00A755A4" w:rsidRPr="0057309D">
        <w:rPr>
          <w:sz w:val="22"/>
          <w:szCs w:val="22"/>
        </w:rPr>
        <w:t xml:space="preserve">rozwiązanie </w:t>
      </w:r>
      <w:r w:rsidR="001810AB" w:rsidRPr="0057309D">
        <w:rPr>
          <w:sz w:val="22"/>
          <w:szCs w:val="22"/>
        </w:rPr>
        <w:t>dotykających ich problemów</w:t>
      </w:r>
      <w:r w:rsidR="00A755A4" w:rsidRPr="0057309D">
        <w:rPr>
          <w:sz w:val="22"/>
          <w:szCs w:val="22"/>
        </w:rPr>
        <w:t xml:space="preserve"> napotyka na podstawową barierę braku odpowiednich i efektywnych regulacji, k</w:t>
      </w:r>
      <w:r w:rsidR="00E60A0F" w:rsidRPr="0057309D">
        <w:rPr>
          <w:sz w:val="22"/>
          <w:szCs w:val="22"/>
        </w:rPr>
        <w:t>tóre zapewniłyby im należytą ochronę.</w:t>
      </w:r>
    </w:p>
    <w:p w14:paraId="695FB3FD" w14:textId="77777777" w:rsidR="009A355F" w:rsidRPr="0057309D" w:rsidRDefault="009A355F" w:rsidP="002D5DC0">
      <w:pPr>
        <w:spacing w:line="276" w:lineRule="auto"/>
        <w:jc w:val="both"/>
        <w:rPr>
          <w:sz w:val="22"/>
          <w:szCs w:val="22"/>
        </w:rPr>
      </w:pPr>
    </w:p>
    <w:p w14:paraId="1788EF9E" w14:textId="1F797B20" w:rsidR="00765DA8" w:rsidRPr="0057309D" w:rsidRDefault="000569C9" w:rsidP="002D5DC0">
      <w:pPr>
        <w:spacing w:line="276" w:lineRule="auto"/>
        <w:jc w:val="both"/>
        <w:rPr>
          <w:sz w:val="22"/>
          <w:szCs w:val="22"/>
        </w:rPr>
      </w:pPr>
      <w:r w:rsidRPr="0057309D">
        <w:rPr>
          <w:b/>
          <w:bCs/>
          <w:sz w:val="22"/>
          <w:szCs w:val="22"/>
        </w:rPr>
        <w:t xml:space="preserve">4. </w:t>
      </w:r>
      <w:r w:rsidR="009A355F" w:rsidRPr="0057309D">
        <w:rPr>
          <w:sz w:val="22"/>
          <w:szCs w:val="22"/>
        </w:rPr>
        <w:t xml:space="preserve">Dla zrozumienia sytuacji akcjonariuszy mniejszościowych Spółki konieczne </w:t>
      </w:r>
      <w:r w:rsidR="00FC6E22" w:rsidRPr="0057309D">
        <w:rPr>
          <w:sz w:val="22"/>
          <w:szCs w:val="22"/>
        </w:rPr>
        <w:t xml:space="preserve">jest również </w:t>
      </w:r>
      <w:r w:rsidR="00995A68" w:rsidRPr="0057309D">
        <w:rPr>
          <w:sz w:val="22"/>
          <w:szCs w:val="22"/>
        </w:rPr>
        <w:t>możliwie zwięzłe</w:t>
      </w:r>
      <w:r w:rsidR="00FC6E22" w:rsidRPr="0057309D">
        <w:rPr>
          <w:sz w:val="22"/>
          <w:szCs w:val="22"/>
        </w:rPr>
        <w:t xml:space="preserve"> przedstawienie</w:t>
      </w:r>
      <w:r w:rsidR="00765DA8" w:rsidRPr="0057309D">
        <w:rPr>
          <w:sz w:val="22"/>
          <w:szCs w:val="22"/>
        </w:rPr>
        <w:t xml:space="preserve"> </w:t>
      </w:r>
      <w:r w:rsidR="00995A68" w:rsidRPr="0057309D">
        <w:rPr>
          <w:sz w:val="22"/>
          <w:szCs w:val="22"/>
        </w:rPr>
        <w:t xml:space="preserve">najbardziej znaczących </w:t>
      </w:r>
      <w:r w:rsidR="00765DA8" w:rsidRPr="0057309D">
        <w:rPr>
          <w:sz w:val="22"/>
          <w:szCs w:val="22"/>
        </w:rPr>
        <w:t>działań i zaniechań głównego akcjonariusza</w:t>
      </w:r>
      <w:r w:rsidR="00FC6E22" w:rsidRPr="0057309D">
        <w:rPr>
          <w:sz w:val="22"/>
          <w:szCs w:val="22"/>
        </w:rPr>
        <w:t xml:space="preserve"> podejmowanych na przestrzeni ostatnich lat, które sprowadzały się zarówno</w:t>
      </w:r>
      <w:r w:rsidR="00765DA8" w:rsidRPr="0057309D">
        <w:rPr>
          <w:sz w:val="22"/>
          <w:szCs w:val="22"/>
        </w:rPr>
        <w:t xml:space="preserve"> </w:t>
      </w:r>
      <w:r w:rsidR="00DC2A3D" w:rsidRPr="0057309D">
        <w:rPr>
          <w:sz w:val="22"/>
          <w:szCs w:val="22"/>
        </w:rPr>
        <w:t>do marginalizacji</w:t>
      </w:r>
      <w:r w:rsidR="00FC289D" w:rsidRPr="0057309D">
        <w:rPr>
          <w:sz w:val="22"/>
          <w:szCs w:val="22"/>
        </w:rPr>
        <w:t xml:space="preserve"> akcjonariuszy mniejszościowych</w:t>
      </w:r>
      <w:r w:rsidR="00DC2A3D" w:rsidRPr="0057309D">
        <w:rPr>
          <w:sz w:val="22"/>
          <w:szCs w:val="22"/>
        </w:rPr>
        <w:t xml:space="preserve"> w spółc</w:t>
      </w:r>
      <w:r w:rsidR="00FC6E22" w:rsidRPr="0057309D">
        <w:rPr>
          <w:sz w:val="22"/>
          <w:szCs w:val="22"/>
        </w:rPr>
        <w:t xml:space="preserve">e oraz </w:t>
      </w:r>
      <w:r w:rsidR="004F3439" w:rsidRPr="0057309D">
        <w:rPr>
          <w:sz w:val="22"/>
          <w:szCs w:val="22"/>
        </w:rPr>
        <w:t xml:space="preserve">do </w:t>
      </w:r>
      <w:r w:rsidR="0045454C" w:rsidRPr="0057309D">
        <w:rPr>
          <w:sz w:val="22"/>
          <w:szCs w:val="22"/>
        </w:rPr>
        <w:t xml:space="preserve">ograniczania ich uprawnień, </w:t>
      </w:r>
      <w:r w:rsidR="00A425A1" w:rsidRPr="0057309D">
        <w:rPr>
          <w:sz w:val="22"/>
          <w:szCs w:val="22"/>
        </w:rPr>
        <w:t xml:space="preserve">jak też do podejmowania w spółce czynności ze szkodą dla samej </w:t>
      </w:r>
      <w:r w:rsidR="004F3439" w:rsidRPr="0057309D">
        <w:rPr>
          <w:sz w:val="22"/>
          <w:szCs w:val="22"/>
        </w:rPr>
        <w:t>S</w:t>
      </w:r>
      <w:r w:rsidR="00A425A1" w:rsidRPr="0057309D">
        <w:rPr>
          <w:sz w:val="22"/>
          <w:szCs w:val="22"/>
        </w:rPr>
        <w:t>półki i jej akcjonariuszy mniejszościowych</w:t>
      </w:r>
      <w:r w:rsidR="00FC084B" w:rsidRPr="0057309D">
        <w:rPr>
          <w:sz w:val="22"/>
          <w:szCs w:val="22"/>
        </w:rPr>
        <w:t xml:space="preserve">, </w:t>
      </w:r>
      <w:r w:rsidR="00995A68" w:rsidRPr="0057309D">
        <w:rPr>
          <w:sz w:val="22"/>
          <w:szCs w:val="22"/>
        </w:rPr>
        <w:t>a</w:t>
      </w:r>
      <w:r w:rsidR="00FC084B" w:rsidRPr="0057309D">
        <w:rPr>
          <w:sz w:val="22"/>
          <w:szCs w:val="22"/>
        </w:rPr>
        <w:t xml:space="preserve"> z korzyścią </w:t>
      </w:r>
      <w:r w:rsidR="00E51798">
        <w:rPr>
          <w:sz w:val="22"/>
          <w:szCs w:val="22"/>
        </w:rPr>
        <w:t xml:space="preserve">jedynie </w:t>
      </w:r>
      <w:r w:rsidR="00FC084B" w:rsidRPr="0057309D">
        <w:rPr>
          <w:sz w:val="22"/>
          <w:szCs w:val="22"/>
        </w:rPr>
        <w:t xml:space="preserve">dla akcjonariusza </w:t>
      </w:r>
      <w:r w:rsidR="00E51798">
        <w:rPr>
          <w:sz w:val="22"/>
          <w:szCs w:val="22"/>
        </w:rPr>
        <w:t>większościowego</w:t>
      </w:r>
      <w:r w:rsidR="00FC084B" w:rsidRPr="0057309D">
        <w:rPr>
          <w:sz w:val="22"/>
          <w:szCs w:val="22"/>
        </w:rPr>
        <w:t>.</w:t>
      </w:r>
    </w:p>
    <w:p w14:paraId="7B5D39CA" w14:textId="77777777" w:rsidR="00482138" w:rsidRPr="0057309D" w:rsidRDefault="00482138" w:rsidP="002D5DC0">
      <w:pPr>
        <w:spacing w:line="276" w:lineRule="auto"/>
        <w:jc w:val="both"/>
        <w:rPr>
          <w:sz w:val="22"/>
          <w:szCs w:val="22"/>
        </w:rPr>
      </w:pPr>
    </w:p>
    <w:p w14:paraId="427EFFD5" w14:textId="12754C60" w:rsidR="00765DA8" w:rsidRPr="0057309D" w:rsidRDefault="00C23458" w:rsidP="002D5DC0">
      <w:pPr>
        <w:spacing w:line="276" w:lineRule="auto"/>
        <w:jc w:val="both"/>
        <w:rPr>
          <w:sz w:val="22"/>
          <w:szCs w:val="22"/>
        </w:rPr>
      </w:pPr>
      <w:r w:rsidRPr="0057309D">
        <w:rPr>
          <w:sz w:val="22"/>
          <w:szCs w:val="22"/>
        </w:rPr>
        <w:t>Przedstawiając najbardziej jaskrawe przykłady</w:t>
      </w:r>
      <w:r w:rsidR="004F3439" w:rsidRPr="0057309D">
        <w:rPr>
          <w:sz w:val="22"/>
          <w:szCs w:val="22"/>
        </w:rPr>
        <w:t xml:space="preserve"> tego rodzaju zdarzeń</w:t>
      </w:r>
      <w:r w:rsidRPr="0057309D">
        <w:rPr>
          <w:sz w:val="22"/>
          <w:szCs w:val="22"/>
        </w:rPr>
        <w:t xml:space="preserve"> w</w:t>
      </w:r>
      <w:r w:rsidR="00D438FA" w:rsidRPr="0057309D">
        <w:rPr>
          <w:sz w:val="22"/>
          <w:szCs w:val="22"/>
        </w:rPr>
        <w:t>skazać</w:t>
      </w:r>
      <w:r w:rsidR="000569C9" w:rsidRPr="0057309D">
        <w:rPr>
          <w:sz w:val="22"/>
          <w:szCs w:val="22"/>
        </w:rPr>
        <w:t xml:space="preserve"> </w:t>
      </w:r>
      <w:r w:rsidR="00D438FA" w:rsidRPr="0057309D">
        <w:rPr>
          <w:sz w:val="22"/>
          <w:szCs w:val="22"/>
        </w:rPr>
        <w:t xml:space="preserve">należy </w:t>
      </w:r>
      <w:r w:rsidR="00D61D98" w:rsidRPr="0057309D">
        <w:rPr>
          <w:sz w:val="22"/>
          <w:szCs w:val="22"/>
        </w:rPr>
        <w:t xml:space="preserve">między innymi </w:t>
      </w:r>
      <w:r w:rsidR="00D438FA" w:rsidRPr="0057309D">
        <w:rPr>
          <w:sz w:val="22"/>
          <w:szCs w:val="22"/>
        </w:rPr>
        <w:t>na próbę</w:t>
      </w:r>
      <w:r w:rsidR="00482138" w:rsidRPr="0057309D">
        <w:rPr>
          <w:sz w:val="22"/>
          <w:szCs w:val="22"/>
        </w:rPr>
        <w:t xml:space="preserve"> emisji nowych akcji Spółki bez zachowania prawa poboru, której celem miało być rzekomo zebranie środków na zapłatę zaległości podatkowych Spółki za</w:t>
      </w:r>
      <w:r w:rsidR="00AC62CB" w:rsidRPr="0057309D">
        <w:rPr>
          <w:sz w:val="22"/>
          <w:szCs w:val="22"/>
        </w:rPr>
        <w:t xml:space="preserve"> lata</w:t>
      </w:r>
      <w:r w:rsidR="00482138" w:rsidRPr="0057309D">
        <w:rPr>
          <w:sz w:val="22"/>
          <w:szCs w:val="22"/>
        </w:rPr>
        <w:t xml:space="preserve"> 2006 i 2011 w kwocie łącznej sięgającej 1,342 mld. zł. W wyniku niezarejestrowanej </w:t>
      </w:r>
      <w:r w:rsidR="002F4631" w:rsidRPr="0057309D">
        <w:rPr>
          <w:sz w:val="22"/>
          <w:szCs w:val="22"/>
        </w:rPr>
        <w:t xml:space="preserve">ostatecznie </w:t>
      </w:r>
      <w:r w:rsidR="00482138" w:rsidRPr="0057309D">
        <w:rPr>
          <w:sz w:val="22"/>
          <w:szCs w:val="22"/>
        </w:rPr>
        <w:t xml:space="preserve">emisji akcji serii V przyjętej głosami głównego akcjonariusza w dniu 4 kwietnia 2017 r. miało zostać utworzone 100.000.000 nowych akcji serii V. Niemniej cele finansowe emisji zostały zrealizowane w minimalnym stopniu. </w:t>
      </w:r>
      <w:r w:rsidR="0059596A" w:rsidRPr="0057309D">
        <w:rPr>
          <w:sz w:val="22"/>
          <w:szCs w:val="22"/>
        </w:rPr>
        <w:t>P</w:t>
      </w:r>
      <w:r w:rsidR="00482138" w:rsidRPr="0057309D">
        <w:rPr>
          <w:sz w:val="22"/>
          <w:szCs w:val="22"/>
        </w:rPr>
        <w:t xml:space="preserve">okrycie udziałów w podwyższonym kapitale osiągnęło jedynie minimalną ustawową i emisyjną wartość 1,01 zł za akcję, co dałoby jedynie 101 milionów zł wpływów (wobec deklarowanych  przez zarząd potrzeb 1,324 miliarda zł). Akcje w podwyższonym kapitale objąłby natomiast (w przypadku pomyślnej rejestracji w KRS) w znacznej większości obejmującej pokrycie akcji w wysokości 100.888.000,00 zł (z 101.000.000,00 zł) główny akcjonariusz - Bithell Holdings Ltd. </w:t>
      </w:r>
      <w:r w:rsidR="0059596A" w:rsidRPr="0057309D">
        <w:rPr>
          <w:sz w:val="22"/>
          <w:szCs w:val="22"/>
        </w:rPr>
        <w:t xml:space="preserve">W konsekwencji </w:t>
      </w:r>
      <w:r w:rsidR="00482138" w:rsidRPr="0057309D">
        <w:rPr>
          <w:sz w:val="22"/>
          <w:szCs w:val="22"/>
        </w:rPr>
        <w:t>w wyniku emisji akcjonariusze Porozumienia utraciliby również 5% ustawowy próg kapitału zakładowego i głosów w Spółce, co skutkowałoby utratą przez nich takich uprawnień, jak prawo żądania zwołania Walnego Zgromadzenia oraz prawo żądania powołania rewidenta ds. szczególnych.</w:t>
      </w:r>
      <w:r w:rsidR="002E3E5D" w:rsidRPr="0057309D">
        <w:rPr>
          <w:sz w:val="22"/>
          <w:szCs w:val="22"/>
        </w:rPr>
        <w:t xml:space="preserve"> </w:t>
      </w:r>
      <w:r w:rsidR="007B3041" w:rsidRPr="0057309D">
        <w:rPr>
          <w:sz w:val="22"/>
          <w:szCs w:val="22"/>
        </w:rPr>
        <w:t xml:space="preserve">Kontrowersyjna </w:t>
      </w:r>
      <w:r w:rsidR="007A2AF2">
        <w:rPr>
          <w:sz w:val="22"/>
          <w:szCs w:val="22"/>
        </w:rPr>
        <w:t>e</w:t>
      </w:r>
      <w:r w:rsidR="00877E05" w:rsidRPr="0057309D">
        <w:rPr>
          <w:sz w:val="22"/>
          <w:szCs w:val="22"/>
        </w:rPr>
        <w:t>misja</w:t>
      </w:r>
      <w:r w:rsidR="00D438FA" w:rsidRPr="0057309D">
        <w:rPr>
          <w:sz w:val="22"/>
          <w:szCs w:val="22"/>
        </w:rPr>
        <w:t xml:space="preserve">, w związku z inicjatywą akcjonariuszy Porozumienia, </w:t>
      </w:r>
      <w:r w:rsidR="00877E05" w:rsidRPr="0057309D">
        <w:rPr>
          <w:sz w:val="22"/>
          <w:szCs w:val="22"/>
        </w:rPr>
        <w:t>nie została jednak zarejestrowana</w:t>
      </w:r>
      <w:r w:rsidR="00D438FA" w:rsidRPr="0057309D">
        <w:rPr>
          <w:sz w:val="22"/>
          <w:szCs w:val="22"/>
        </w:rPr>
        <w:t xml:space="preserve">. </w:t>
      </w:r>
      <w:r w:rsidR="007A2AF2">
        <w:rPr>
          <w:sz w:val="22"/>
          <w:szCs w:val="22"/>
        </w:rPr>
        <w:t>Niemniej podjęta próba świadczy o podjęciu przez głównego akcjonariuszy próby rozbicia grupy akcjonariuszy mniejszościowych celem ograniczenia ich uprawnień</w:t>
      </w:r>
      <w:r w:rsidR="006A2D09">
        <w:rPr>
          <w:sz w:val="22"/>
          <w:szCs w:val="22"/>
        </w:rPr>
        <w:t>, a także pośrednio pozyskaniem majątku po znacznie zaniżonej cenie</w:t>
      </w:r>
    </w:p>
    <w:p w14:paraId="1D295530" w14:textId="77777777" w:rsidR="00AC62CB" w:rsidRPr="0057309D" w:rsidRDefault="00AC62CB" w:rsidP="002D5DC0">
      <w:pPr>
        <w:spacing w:line="276" w:lineRule="auto"/>
        <w:jc w:val="both"/>
        <w:rPr>
          <w:sz w:val="22"/>
          <w:szCs w:val="22"/>
        </w:rPr>
      </w:pPr>
    </w:p>
    <w:p w14:paraId="55B5DEDD" w14:textId="38FFB8DF" w:rsidR="000B1844" w:rsidRPr="0057309D" w:rsidRDefault="00AC62CB" w:rsidP="002D5DC0">
      <w:pPr>
        <w:spacing w:line="276" w:lineRule="auto"/>
        <w:jc w:val="both"/>
        <w:rPr>
          <w:sz w:val="22"/>
          <w:szCs w:val="22"/>
        </w:rPr>
      </w:pPr>
      <w:r w:rsidRPr="0057309D">
        <w:rPr>
          <w:sz w:val="22"/>
          <w:szCs w:val="22"/>
        </w:rPr>
        <w:t>Kolejn</w:t>
      </w:r>
      <w:r w:rsidR="00905421" w:rsidRPr="0057309D">
        <w:rPr>
          <w:sz w:val="22"/>
          <w:szCs w:val="22"/>
        </w:rPr>
        <w:t xml:space="preserve">ą kwestią wymagającą omówienia </w:t>
      </w:r>
      <w:r w:rsidR="0017031E" w:rsidRPr="0057309D">
        <w:rPr>
          <w:sz w:val="22"/>
          <w:szCs w:val="22"/>
        </w:rPr>
        <w:t>pozostaje przebieg obrad Nadzwyczajnego Walnego Zgromadzenia Akcjonariuszy</w:t>
      </w:r>
      <w:r w:rsidR="00811170" w:rsidRPr="0057309D">
        <w:rPr>
          <w:sz w:val="22"/>
          <w:szCs w:val="22"/>
        </w:rPr>
        <w:t xml:space="preserve"> Spółki</w:t>
      </w:r>
      <w:r w:rsidR="0017031E" w:rsidRPr="0057309D">
        <w:rPr>
          <w:sz w:val="22"/>
          <w:szCs w:val="22"/>
        </w:rPr>
        <w:t xml:space="preserve"> zwołanego z inicjatywy i na żądanie akcjonariuszy Por</w:t>
      </w:r>
      <w:r w:rsidR="00235EA9" w:rsidRPr="0057309D">
        <w:rPr>
          <w:sz w:val="22"/>
          <w:szCs w:val="22"/>
        </w:rPr>
        <w:t xml:space="preserve">ozumienia </w:t>
      </w:r>
      <w:r w:rsidR="00811170" w:rsidRPr="0057309D">
        <w:rPr>
          <w:sz w:val="22"/>
          <w:szCs w:val="22"/>
        </w:rPr>
        <w:t xml:space="preserve">a </w:t>
      </w:r>
      <w:r w:rsidR="00235EA9" w:rsidRPr="0057309D">
        <w:rPr>
          <w:sz w:val="22"/>
          <w:szCs w:val="22"/>
        </w:rPr>
        <w:t>odbytego w dniach</w:t>
      </w:r>
      <w:r w:rsidR="00811170" w:rsidRPr="0057309D">
        <w:rPr>
          <w:sz w:val="22"/>
          <w:szCs w:val="22"/>
        </w:rPr>
        <w:t xml:space="preserve"> </w:t>
      </w:r>
      <w:r w:rsidR="00811170" w:rsidRPr="0057309D">
        <w:rPr>
          <w:bCs/>
          <w:sz w:val="22"/>
          <w:szCs w:val="22"/>
        </w:rPr>
        <w:t>7 lipca 2018 r. i 24 sierpnia 2018 r.</w:t>
      </w:r>
      <w:r w:rsidR="00B3746C" w:rsidRPr="0057309D">
        <w:rPr>
          <w:bCs/>
          <w:sz w:val="22"/>
          <w:szCs w:val="22"/>
        </w:rPr>
        <w:t xml:space="preserve"> Przedmiote</w:t>
      </w:r>
      <w:r w:rsidR="00A96F5B" w:rsidRPr="0057309D">
        <w:rPr>
          <w:bCs/>
          <w:sz w:val="22"/>
          <w:szCs w:val="22"/>
        </w:rPr>
        <w:t>m obrad Zgromadzenia miało być przede wszystkim głosowanie nad podjęcie</w:t>
      </w:r>
      <w:r w:rsidR="00AD48C2" w:rsidRPr="0057309D">
        <w:rPr>
          <w:bCs/>
          <w:sz w:val="22"/>
          <w:szCs w:val="22"/>
        </w:rPr>
        <w:t>m</w:t>
      </w:r>
      <w:r w:rsidR="002F429C" w:rsidRPr="0057309D">
        <w:rPr>
          <w:bCs/>
          <w:sz w:val="22"/>
          <w:szCs w:val="22"/>
        </w:rPr>
        <w:t xml:space="preserve"> uchwały w sprawie powołania rewidenta ds. szczególnych w trybie art. 84 ustawy o ofercie publicznej</w:t>
      </w:r>
      <w:r w:rsidR="00136A43" w:rsidRPr="0057309D">
        <w:rPr>
          <w:bCs/>
          <w:sz w:val="22"/>
          <w:szCs w:val="22"/>
        </w:rPr>
        <w:t>. C</w:t>
      </w:r>
      <w:r w:rsidR="00484772" w:rsidRPr="0057309D">
        <w:rPr>
          <w:bCs/>
          <w:sz w:val="22"/>
          <w:szCs w:val="22"/>
        </w:rPr>
        <w:t xml:space="preserve">elem </w:t>
      </w:r>
      <w:r w:rsidR="00136A43" w:rsidRPr="0057309D">
        <w:rPr>
          <w:bCs/>
          <w:sz w:val="22"/>
          <w:szCs w:val="22"/>
        </w:rPr>
        <w:t xml:space="preserve">powołania rewidenta było w szczególności </w:t>
      </w:r>
      <w:r w:rsidR="00845894" w:rsidRPr="0057309D">
        <w:rPr>
          <w:bCs/>
          <w:sz w:val="22"/>
          <w:szCs w:val="22"/>
        </w:rPr>
        <w:t>przeprowadzenia badania w zakresie</w:t>
      </w:r>
      <w:r w:rsidR="00BE74E6" w:rsidRPr="0057309D">
        <w:rPr>
          <w:sz w:val="22"/>
          <w:szCs w:val="22"/>
        </w:rPr>
        <w:t xml:space="preserve"> łącznej wysokości i sposobu rozdysponowania wszelkich środków pieniężnych lub innych aktywów uzyskanych przez Spółkę lub spółki Grupy Elektrim w wykonaniu porozumienia z 2010 r. w przedmiocie zakończenia sporów prawnych dotyczących </w:t>
      </w:r>
      <w:r w:rsidR="00845894" w:rsidRPr="0057309D">
        <w:rPr>
          <w:sz w:val="22"/>
          <w:szCs w:val="22"/>
        </w:rPr>
        <w:t>udziałów Spółki w PTC sp. z o. o. – właściciela sieci komórkowej</w:t>
      </w:r>
      <w:r w:rsidR="00136A43" w:rsidRPr="0057309D">
        <w:rPr>
          <w:sz w:val="22"/>
          <w:szCs w:val="22"/>
        </w:rPr>
        <w:t xml:space="preserve">. </w:t>
      </w:r>
      <w:r w:rsidR="00CA5376" w:rsidRPr="0057309D">
        <w:rPr>
          <w:sz w:val="22"/>
          <w:szCs w:val="22"/>
        </w:rPr>
        <w:t>Rewident</w:t>
      </w:r>
      <w:r w:rsidR="006A2D09">
        <w:rPr>
          <w:sz w:val="22"/>
          <w:szCs w:val="22"/>
        </w:rPr>
        <w:t xml:space="preserve"> ds. szczególnych</w:t>
      </w:r>
      <w:r w:rsidR="00CA5376" w:rsidRPr="0057309D">
        <w:rPr>
          <w:sz w:val="22"/>
          <w:szCs w:val="22"/>
        </w:rPr>
        <w:t xml:space="preserve"> zobowiązany miał również zostać do z</w:t>
      </w:r>
      <w:r w:rsidR="00F81B19" w:rsidRPr="0057309D">
        <w:rPr>
          <w:sz w:val="22"/>
          <w:szCs w:val="22"/>
        </w:rPr>
        <w:t>badania</w:t>
      </w:r>
      <w:r w:rsidR="003E4D5A" w:rsidRPr="0057309D">
        <w:rPr>
          <w:sz w:val="22"/>
          <w:szCs w:val="22"/>
        </w:rPr>
        <w:t xml:space="preserve"> zagadnienia analizy rozporządzeń akcjami ZE PAK S.A.</w:t>
      </w:r>
      <w:r w:rsidR="00C364DC" w:rsidRPr="0057309D">
        <w:rPr>
          <w:sz w:val="22"/>
          <w:szCs w:val="22"/>
        </w:rPr>
        <w:t xml:space="preserve"> pomiędzy Spółką a podmiotami powiązanymi z głównym akcjonariusz</w:t>
      </w:r>
      <w:r w:rsidR="00905421" w:rsidRPr="0057309D">
        <w:rPr>
          <w:sz w:val="22"/>
          <w:szCs w:val="22"/>
        </w:rPr>
        <w:t xml:space="preserve">em. Niestety pomimo zwołania i odbycia zgromadzenia – </w:t>
      </w:r>
      <w:r w:rsidR="00272766" w:rsidRPr="0057309D">
        <w:rPr>
          <w:sz w:val="22"/>
          <w:szCs w:val="22"/>
        </w:rPr>
        <w:t xml:space="preserve">uchwałą podjętą </w:t>
      </w:r>
      <w:r w:rsidR="00905421" w:rsidRPr="0057309D">
        <w:rPr>
          <w:sz w:val="22"/>
          <w:szCs w:val="22"/>
        </w:rPr>
        <w:t>głosami głównego akcjonariusza zostały wykreślone wszystkie merytoryczne punkty porządku obrad wprowadzone na żądanie akcjonariuszy mniejszościowych. Nie odbyła się dyskusja, zadawania pytań, czy głosowanie nad tym punktami porządku obrad</w:t>
      </w:r>
      <w:r w:rsidR="00272766" w:rsidRPr="0057309D">
        <w:rPr>
          <w:sz w:val="22"/>
          <w:szCs w:val="22"/>
        </w:rPr>
        <w:t>, w tym w szczególności nad punktami dotyczącymi powołania rewidentów ds. szczególnych</w:t>
      </w:r>
      <w:r w:rsidR="0075117D" w:rsidRPr="0057309D">
        <w:rPr>
          <w:sz w:val="22"/>
          <w:szCs w:val="22"/>
        </w:rPr>
        <w:t xml:space="preserve">. </w:t>
      </w:r>
      <w:r w:rsidR="005059A5" w:rsidRPr="0057309D">
        <w:rPr>
          <w:sz w:val="22"/>
          <w:szCs w:val="22"/>
        </w:rPr>
        <w:t xml:space="preserve">Uchwała skreślająca została przez akcjonariuszy mniejszościowych zaskarżona do sądu. Ostatecznie Sąd Apelacyjny w Warszawie </w:t>
      </w:r>
      <w:r w:rsidR="00CA4024" w:rsidRPr="0057309D">
        <w:rPr>
          <w:sz w:val="22"/>
          <w:szCs w:val="22"/>
        </w:rPr>
        <w:t xml:space="preserve">prawomocnym wyrokiem </w:t>
      </w:r>
      <w:r w:rsidR="005D57B6" w:rsidRPr="0057309D">
        <w:rPr>
          <w:sz w:val="22"/>
          <w:szCs w:val="22"/>
        </w:rPr>
        <w:t xml:space="preserve">z dnia 19 listopada 2020 r. sygn. akt VII Aga 706/20 </w:t>
      </w:r>
      <w:r w:rsidR="005059A5" w:rsidRPr="0057309D">
        <w:rPr>
          <w:sz w:val="22"/>
          <w:szCs w:val="22"/>
        </w:rPr>
        <w:t>potwierdził nieważność uchwały skreślającej</w:t>
      </w:r>
      <w:r w:rsidR="00CD5000" w:rsidRPr="0057309D">
        <w:rPr>
          <w:sz w:val="22"/>
          <w:szCs w:val="22"/>
        </w:rPr>
        <w:t xml:space="preserve"> punkty porządku obrad wprowadzone przez akcjonariuszy</w:t>
      </w:r>
      <w:r w:rsidR="006A2D09">
        <w:rPr>
          <w:sz w:val="22"/>
          <w:szCs w:val="22"/>
        </w:rPr>
        <w:t xml:space="preserve"> mniejszościowych</w:t>
      </w:r>
      <w:r w:rsidR="00B97362" w:rsidRPr="0057309D">
        <w:rPr>
          <w:sz w:val="22"/>
          <w:szCs w:val="22"/>
        </w:rPr>
        <w:t>.</w:t>
      </w:r>
      <w:r w:rsidR="001268E3" w:rsidRPr="0057309D">
        <w:rPr>
          <w:sz w:val="22"/>
          <w:szCs w:val="22"/>
        </w:rPr>
        <w:t xml:space="preserve"> </w:t>
      </w:r>
      <w:r w:rsidR="000B1844" w:rsidRPr="0057309D">
        <w:rPr>
          <w:sz w:val="22"/>
          <w:szCs w:val="22"/>
        </w:rPr>
        <w:t xml:space="preserve">Nadmienić należy, iż </w:t>
      </w:r>
      <w:r w:rsidR="00762212" w:rsidRPr="0057309D">
        <w:rPr>
          <w:sz w:val="22"/>
          <w:szCs w:val="22"/>
        </w:rPr>
        <w:t>przebieg obrad opisane</w:t>
      </w:r>
      <w:r w:rsidR="00E20B28" w:rsidRPr="0057309D">
        <w:rPr>
          <w:sz w:val="22"/>
          <w:szCs w:val="22"/>
        </w:rPr>
        <w:t>go</w:t>
      </w:r>
      <w:r w:rsidR="00762212" w:rsidRPr="0057309D">
        <w:rPr>
          <w:sz w:val="22"/>
          <w:szCs w:val="22"/>
        </w:rPr>
        <w:t xml:space="preserve"> wyżej NWZA zdominowała debata i zadawanie pytania do punktu porządku obrad wprowadzonego na żądanie głównego akcjonariusza</w:t>
      </w:r>
      <w:r w:rsidR="00E20B28" w:rsidRPr="0057309D">
        <w:rPr>
          <w:sz w:val="22"/>
          <w:szCs w:val="22"/>
        </w:rPr>
        <w:t xml:space="preserve"> </w:t>
      </w:r>
      <w:r w:rsidR="0006546A" w:rsidRPr="0057309D">
        <w:rPr>
          <w:sz w:val="22"/>
          <w:szCs w:val="22"/>
        </w:rPr>
        <w:t xml:space="preserve">dotyczącego kolejnej emisji akcji bez zachowania prawa poboru </w:t>
      </w:r>
      <w:r w:rsidR="004034F4" w:rsidRPr="0057309D">
        <w:rPr>
          <w:sz w:val="22"/>
          <w:szCs w:val="22"/>
        </w:rPr>
        <w:t>rzekomo celem pozyskania środków na spłatę zobowiązań podatkowych.</w:t>
      </w:r>
      <w:r w:rsidR="001268E3" w:rsidRPr="0057309D">
        <w:rPr>
          <w:sz w:val="22"/>
          <w:szCs w:val="22"/>
        </w:rPr>
        <w:t xml:space="preserve"> Ostatecznie główny akcjonariusz nawet nie przystąpił do głosowania nad swoim projektem, co potwierdziło, iż celem wprowadzenia tego punktu obrad był</w:t>
      </w:r>
      <w:r w:rsidR="000C2418" w:rsidRPr="0057309D">
        <w:rPr>
          <w:sz w:val="22"/>
          <w:szCs w:val="22"/>
        </w:rPr>
        <w:t xml:space="preserve">o jedynie </w:t>
      </w:r>
      <w:r w:rsidR="001268E3" w:rsidRPr="0057309D">
        <w:rPr>
          <w:sz w:val="22"/>
          <w:szCs w:val="22"/>
        </w:rPr>
        <w:t xml:space="preserve">wyczerpanie czasu przeznaczonego na obrady celem obstrukcji </w:t>
      </w:r>
      <w:r w:rsidR="006A2D09" w:rsidRPr="0057309D">
        <w:rPr>
          <w:sz w:val="22"/>
          <w:szCs w:val="22"/>
        </w:rPr>
        <w:t>zgromadzeni</w:t>
      </w:r>
      <w:r w:rsidR="006A2D09">
        <w:rPr>
          <w:sz w:val="22"/>
          <w:szCs w:val="22"/>
        </w:rPr>
        <w:t>a</w:t>
      </w:r>
      <w:r w:rsidR="006A2D09" w:rsidRPr="0057309D">
        <w:rPr>
          <w:sz w:val="22"/>
          <w:szCs w:val="22"/>
        </w:rPr>
        <w:t xml:space="preserve"> </w:t>
      </w:r>
      <w:r w:rsidR="000C2418" w:rsidRPr="0057309D">
        <w:rPr>
          <w:sz w:val="22"/>
          <w:szCs w:val="22"/>
        </w:rPr>
        <w:t>poprzez pominięcie procedowania zagadnień</w:t>
      </w:r>
      <w:r w:rsidR="0085772B" w:rsidRPr="0057309D">
        <w:rPr>
          <w:sz w:val="22"/>
          <w:szCs w:val="22"/>
        </w:rPr>
        <w:t xml:space="preserve">, o których </w:t>
      </w:r>
      <w:r w:rsidR="0074648E" w:rsidRPr="0057309D">
        <w:rPr>
          <w:sz w:val="22"/>
          <w:szCs w:val="22"/>
        </w:rPr>
        <w:t>omówienie w toku obrad</w:t>
      </w:r>
      <w:r w:rsidR="0085772B" w:rsidRPr="0057309D">
        <w:rPr>
          <w:sz w:val="22"/>
          <w:szCs w:val="22"/>
        </w:rPr>
        <w:t xml:space="preserve"> wnosili akcjonariusze mniejszościowi.</w:t>
      </w:r>
      <w:r w:rsidR="00EB3E92">
        <w:rPr>
          <w:sz w:val="22"/>
          <w:szCs w:val="22"/>
        </w:rPr>
        <w:t xml:space="preserve"> </w:t>
      </w:r>
    </w:p>
    <w:p w14:paraId="3D33A89D" w14:textId="77777777" w:rsidR="00EF56F4" w:rsidRPr="0057309D" w:rsidRDefault="00EF56F4" w:rsidP="002D5DC0">
      <w:pPr>
        <w:spacing w:line="276" w:lineRule="auto"/>
        <w:jc w:val="both"/>
        <w:rPr>
          <w:sz w:val="22"/>
          <w:szCs w:val="22"/>
        </w:rPr>
      </w:pPr>
    </w:p>
    <w:p w14:paraId="01D87132" w14:textId="77777777" w:rsidR="00EF56F4" w:rsidRDefault="005B54DD" w:rsidP="002D5DC0">
      <w:pPr>
        <w:spacing w:line="276" w:lineRule="auto"/>
        <w:jc w:val="both"/>
        <w:rPr>
          <w:sz w:val="22"/>
          <w:szCs w:val="22"/>
        </w:rPr>
      </w:pPr>
      <w:r w:rsidRPr="0057309D">
        <w:rPr>
          <w:sz w:val="22"/>
          <w:szCs w:val="22"/>
        </w:rPr>
        <w:t>Podobny scenariusz skreślenia punktów porządku obrad wprowadzonych na żądanie akcjonariuszy mniejszościowych – główny akcjonariusz powtórzył na Zwyczajnym Walnym Zgromadzeniu w dniu 27 czerwca 2019 r.</w:t>
      </w:r>
      <w:r w:rsidR="00A17B09" w:rsidRPr="0057309D">
        <w:rPr>
          <w:sz w:val="22"/>
          <w:szCs w:val="22"/>
        </w:rPr>
        <w:t xml:space="preserve"> </w:t>
      </w:r>
      <w:r w:rsidR="0074648E" w:rsidRPr="0057309D">
        <w:rPr>
          <w:sz w:val="22"/>
          <w:szCs w:val="22"/>
        </w:rPr>
        <w:t>Na tym Zgromadzenia także nie poddano pod debatę i głosowanie 4 merytorycznych punktów porządku obrad wprowadzonych na żądanie akcjonariuszy Porozumienia. Niemniej kolejna</w:t>
      </w:r>
      <w:r w:rsidR="00480D20" w:rsidRPr="0057309D">
        <w:rPr>
          <w:sz w:val="22"/>
          <w:szCs w:val="22"/>
        </w:rPr>
        <w:t xml:space="preserve"> uchwała skreślająca</w:t>
      </w:r>
      <w:r w:rsidR="0074648E" w:rsidRPr="0057309D">
        <w:rPr>
          <w:sz w:val="22"/>
          <w:szCs w:val="22"/>
        </w:rPr>
        <w:t xml:space="preserve"> punkty porządku obrad Porozumienia podjęta głosami głównego akcjonariusza</w:t>
      </w:r>
      <w:r w:rsidR="00480D20" w:rsidRPr="0057309D">
        <w:rPr>
          <w:sz w:val="22"/>
          <w:szCs w:val="22"/>
        </w:rPr>
        <w:t xml:space="preserve"> została zaskarżona do Sądu, który to Sąd w I instancji przychylił się do stanowiska akcjonariusz</w:t>
      </w:r>
      <w:r w:rsidR="001A522D" w:rsidRPr="0057309D">
        <w:rPr>
          <w:sz w:val="22"/>
          <w:szCs w:val="22"/>
        </w:rPr>
        <w:t>y Porozumienia</w:t>
      </w:r>
      <w:r w:rsidR="00480D20" w:rsidRPr="0057309D">
        <w:rPr>
          <w:sz w:val="22"/>
          <w:szCs w:val="22"/>
        </w:rPr>
        <w:t xml:space="preserve"> i uchylił zaskarżoną uchwałę.</w:t>
      </w:r>
    </w:p>
    <w:p w14:paraId="677B3CB1" w14:textId="77777777" w:rsidR="00EB3E92" w:rsidRDefault="00EB3E92" w:rsidP="002D5DC0">
      <w:pPr>
        <w:spacing w:line="276" w:lineRule="auto"/>
        <w:jc w:val="both"/>
        <w:rPr>
          <w:sz w:val="22"/>
          <w:szCs w:val="22"/>
        </w:rPr>
      </w:pPr>
    </w:p>
    <w:p w14:paraId="7DD42E9D" w14:textId="77777777" w:rsidR="00EB3E92" w:rsidRPr="0057309D" w:rsidRDefault="00EB3E92" w:rsidP="002D5DC0">
      <w:pPr>
        <w:spacing w:line="276" w:lineRule="auto"/>
        <w:jc w:val="both"/>
        <w:rPr>
          <w:sz w:val="22"/>
          <w:szCs w:val="22"/>
        </w:rPr>
      </w:pPr>
      <w:r>
        <w:rPr>
          <w:sz w:val="22"/>
          <w:szCs w:val="22"/>
        </w:rPr>
        <w:t xml:space="preserve">Opisane wyżej zdarzenia pokazuję, iż wbrew obowiązującym przepisom główny akcjonariusz dwukrotnie ograniczył podstawowe uprawnienie akcjonariuszy mniejszościowych w postaci prawa do </w:t>
      </w:r>
      <w:r w:rsidR="00033CA5">
        <w:rPr>
          <w:sz w:val="22"/>
          <w:szCs w:val="22"/>
        </w:rPr>
        <w:t>zwołania i przeprowadzenia obrad walnego zgromadzenia z porządkiem przez nich zaproponowanym.</w:t>
      </w:r>
    </w:p>
    <w:p w14:paraId="500D257C" w14:textId="77777777" w:rsidR="0026124D" w:rsidRPr="0057309D" w:rsidRDefault="0026124D" w:rsidP="002D5DC0">
      <w:pPr>
        <w:spacing w:line="276" w:lineRule="auto"/>
        <w:jc w:val="both"/>
        <w:rPr>
          <w:sz w:val="22"/>
          <w:szCs w:val="22"/>
        </w:rPr>
      </w:pPr>
    </w:p>
    <w:p w14:paraId="2363E7FB" w14:textId="77777777" w:rsidR="004161D8" w:rsidRPr="0057309D" w:rsidRDefault="00995A68" w:rsidP="002D5DC0">
      <w:pPr>
        <w:spacing w:line="276" w:lineRule="auto"/>
        <w:jc w:val="both"/>
        <w:rPr>
          <w:sz w:val="22"/>
          <w:szCs w:val="22"/>
        </w:rPr>
      </w:pPr>
      <w:r w:rsidRPr="0057309D">
        <w:rPr>
          <w:sz w:val="22"/>
          <w:szCs w:val="22"/>
        </w:rPr>
        <w:t xml:space="preserve">Następnym </w:t>
      </w:r>
      <w:r w:rsidR="009225E2" w:rsidRPr="0057309D">
        <w:rPr>
          <w:sz w:val="22"/>
          <w:szCs w:val="22"/>
        </w:rPr>
        <w:t xml:space="preserve">zagadnieniem budzącym kontrowersje akcjonariuszy mniejszościowych </w:t>
      </w:r>
      <w:r w:rsidR="004161D8" w:rsidRPr="0057309D">
        <w:rPr>
          <w:sz w:val="22"/>
          <w:szCs w:val="22"/>
        </w:rPr>
        <w:t>jest sprawa objęcia udziałów w spółce Grupy Elektrim S.A. Pantanomo Ltd. przez powiązaną z głównym akcjonariuszem, spółką ToBe Investments Ltd. z siedzibą na Brytyjskich Wyspach Dziewiczych będącą spółką spoza Grupy Elektrim S.A.</w:t>
      </w:r>
      <w:r w:rsidR="009225E2" w:rsidRPr="0057309D">
        <w:rPr>
          <w:sz w:val="22"/>
          <w:szCs w:val="22"/>
        </w:rPr>
        <w:t xml:space="preserve"> </w:t>
      </w:r>
      <w:r w:rsidR="004161D8" w:rsidRPr="0057309D">
        <w:rPr>
          <w:sz w:val="22"/>
          <w:szCs w:val="22"/>
        </w:rPr>
        <w:t xml:space="preserve">Wyjaśnić w tym miejscu należy, iż spółka Pantanamo Ltd. jest właścicielem około 40 ha gruntów inwestycyjnych określanych mianem Portu Praskiego. Jest to jedno z najcenniejszych aktywów Grupy Kapitałowej Elektrim. W związku z atrakcyjną lokalizacją oraz możliwościami w zakresie zabudowy nieruchomości przedmiotowy składnik majątku ma istotny wpływ na aktualną wartość majątku Spółki, a w przyszłości umożliwi uzyskiwanie przez spółki Grupy znaczących przychodów i zysków. Przypuszczać można, że przy skali planowanej inwestycji zysk w przyszłości wynieść może ponad 1,5 mld zł. Tymczasem jak wynika, z dostępnego na stronie internetowej spółki skonsolidowanego sprawozdania finansowego Grupy Kapitałowej Elektrim S.A.  za rok zakończony dnia 31 grudnia 2017 r.: </w:t>
      </w:r>
      <w:r w:rsidR="004161D8" w:rsidRPr="0057309D">
        <w:rPr>
          <w:i/>
          <w:sz w:val="22"/>
          <w:szCs w:val="22"/>
        </w:rPr>
        <w:t>„W dniu 27 marca 2017 roku nastąpiło podwyższenie kapitału zakładowego Pantanomo Limited w drodze wydania 10 003 nowych udziałów każdy o wartości nominalnej 1 EUR. Wszystkie nowoutworzone udziały zostały objęte przez ToBe Investments Ltd w zamian za wkład pieniężny w wysokości 430 129 000 zł. W rezultacie podwyższenia kapitału udział ToBe Investments Ltd. w Pantanomo Ltd wyniósł 50,007%. Jednocześnie na bazie umowy pomiędzy wspólnikami kontrolę nad Pantanomo Ltd sprawuje Grupa Elektrim S.A.”</w:t>
      </w:r>
      <w:r w:rsidR="009225E2" w:rsidRPr="0057309D">
        <w:rPr>
          <w:sz w:val="22"/>
          <w:szCs w:val="22"/>
        </w:rPr>
        <w:t xml:space="preserve"> Tymczasem przedmiotowa </w:t>
      </w:r>
      <w:r w:rsidR="004161D8" w:rsidRPr="0057309D">
        <w:rPr>
          <w:sz w:val="22"/>
          <w:szCs w:val="22"/>
        </w:rPr>
        <w:t>transakcja mogła zostać zrealizowana ze szkodą majątkową, zarówno dla Elektrim S.A. jako jednostki dominującej Grupy Kapitałowej Elektrim, jak też ze szkodą dla spółki Port Praski Inwestycje sp.  z o. o., który to podmiot, działający jeszcze jako spółka komandytowo-akcyjna był jedynym udziałowcem Pantanomo Ltd. Wkład pieniężny w kwocie 430.129.000,00 zł wniesiony w zamian za ponad połowę udziałów w Spółce w żadnym stopniu nie odpowiadał bowiem rzeczywistej wartości połowy udziałów w Portach Praskich, a tym bardziej w spółce Pantanomo Limited. Średnie ceny  transakcyjne gruntów  niezabudowanych w okolicy lokalizacji Portów Praskich (Stara Praga) oscylują bowiem w granicy kwoty 5000,00 zł/m2. Prowadzi to do wniosku, że w wyniku przedmiotowej transakcji Spółka mogła utracić część bardzo istotnego składnika majątku o wartości  519.871.000,00 zł. Wyżej wskazana kwota wynika z różnicy między połową rynkowej wartości Pantanomo Ltd. odnoszącej się wyłącznie do wartości  nieruchomości (950.00.0000,00 zł) a kwotą wkładu podmiotu zewnętrznego do Pantanomo Ltd. (430.129.000,00 zł) wniesioną celem objęcia udziałów w podwyższonym kapitale zakładowym. W związku z powyższym uzasadnione wydaje się podejrzenie, iż w wyniku przedmiotowej transakcji zarówno Spółka i jej akcjonariusze w sposób pośredni, jak też bezpośrednio Port Praski Inwestycje spółka z o. o. S.K.A. (obecnie Port Praski Inwestycje  spółka z o. o), ponieśli szkodę w kwocie przynajmniej 519.871.000,00 zł wynikającą z samej wartości gruntów. Podkreślić przy tym należy, iż rzeczywistym motywem transakcji mógł być zamiar wyprowadzenia aktywa w postaci Portu Praskiego poza Grupę Elektrim z pośrednią szkodą akcjonariuszy mniejszościowych. Wątpliwości akcjonariuszy budzi również okoliczność, czy środki na pokrycie podwyższonego wkładu zostały rzeczywiście wpłacone na rachunek bankowy Pantanomo Ltd., a jeżeli tak – to skąd pochodziły (czy przypadkiem nie z innej spółki Grupy Elektrim). Nadto nasuwają się pytania i wątpliwości związane z ewentualnym sposobem rozdysponowania tych środków, w tym w szczególności czy przedmiotowe środki zostały wydatkowane na deklarowany cel inwestycyjny.</w:t>
      </w:r>
    </w:p>
    <w:p w14:paraId="4AC74B2B" w14:textId="77777777" w:rsidR="007512B5" w:rsidRPr="0057309D" w:rsidRDefault="007512B5" w:rsidP="002D5DC0">
      <w:pPr>
        <w:spacing w:line="276" w:lineRule="auto"/>
        <w:jc w:val="both"/>
        <w:rPr>
          <w:sz w:val="22"/>
          <w:szCs w:val="22"/>
        </w:rPr>
      </w:pPr>
    </w:p>
    <w:p w14:paraId="5A9B994B" w14:textId="77777777" w:rsidR="00AE757E" w:rsidRPr="0057309D" w:rsidRDefault="008D2DCC" w:rsidP="002D5DC0">
      <w:pPr>
        <w:spacing w:line="276" w:lineRule="auto"/>
        <w:jc w:val="both"/>
        <w:rPr>
          <w:sz w:val="22"/>
          <w:szCs w:val="22"/>
        </w:rPr>
      </w:pPr>
      <w:r w:rsidRPr="0057309D">
        <w:rPr>
          <w:sz w:val="22"/>
          <w:szCs w:val="22"/>
        </w:rPr>
        <w:t xml:space="preserve">Wnioskiem z dnia 7 września 2018 r. 588 akcjonariuszy Porozumienia domagało się powołania rewidentów ds. szczególnych dla zbadania czterech istotnych dla Spółki kwestii obejmujących: (i) rozliczenie ugody w sprawie PTC sp. z o. o. – operatora sieci telefonii komórkowej Era, która po stronie Spółki wygenerowała przychód w wysokości co najmniej 1,45 miliarda euro, (ii) przewłaszczenia akcji spółki akcyjnej Zespół Elektrowni Pątnów-Adamów-Konin S.A. pełniącej istotną rolę w krajowym systemie energetycznym oraz (iii) ocenę charakteru pożyczek udzielanych przez Spółki podmiotom zależnym z Grupy Kapitałowej Elektrim oraz otrzymywanych przez Pozwaną od podmiotów zależnych o wartości powyżej 10 mln. zł, których wykonywanie mogło narazić Spółkę na szkodę. </w:t>
      </w:r>
      <w:r w:rsidR="007512B5" w:rsidRPr="0057309D">
        <w:rPr>
          <w:sz w:val="22"/>
          <w:szCs w:val="22"/>
        </w:rPr>
        <w:t xml:space="preserve">Wniosek ten został oddalony przez sąd I instancji z uwagi na okoliczność, iż w ocenie </w:t>
      </w:r>
      <w:r w:rsidR="009A7091" w:rsidRPr="0057309D">
        <w:rPr>
          <w:sz w:val="22"/>
          <w:szCs w:val="22"/>
        </w:rPr>
        <w:t xml:space="preserve">Sądu Rejonowego dla m. st. Warszawy w Warszawie wniosek dotyczy w części spraw spółek zależnych od Elektrim S.A., a tymczasem przepis art. 84 ustawy o ofercie publicznej umożliwia jedynie badanie w sprawach dotyczących samej spółki. Od niekorzystnego rozstrzygnięcia sądu I instancji akcjonariusze wnieśli zażalenie. Sprawa </w:t>
      </w:r>
      <w:r w:rsidR="00AE757E" w:rsidRPr="0057309D">
        <w:rPr>
          <w:sz w:val="22"/>
          <w:szCs w:val="22"/>
        </w:rPr>
        <w:t>zatem zostanie  w przyszłości rozstrzygnięta przez Sąd Okręgowy w Warszawie.</w:t>
      </w:r>
    </w:p>
    <w:p w14:paraId="1E54C8EF" w14:textId="77777777" w:rsidR="00AE757E" w:rsidRPr="0057309D" w:rsidRDefault="00AE757E" w:rsidP="002D5DC0">
      <w:pPr>
        <w:spacing w:line="276" w:lineRule="auto"/>
        <w:jc w:val="both"/>
        <w:rPr>
          <w:sz w:val="22"/>
          <w:szCs w:val="22"/>
        </w:rPr>
      </w:pPr>
    </w:p>
    <w:p w14:paraId="35AD47E0" w14:textId="77777777" w:rsidR="007512B5" w:rsidRPr="0057309D" w:rsidRDefault="00AE757E" w:rsidP="002D5DC0">
      <w:pPr>
        <w:spacing w:line="276" w:lineRule="auto"/>
        <w:jc w:val="both"/>
        <w:rPr>
          <w:sz w:val="22"/>
          <w:szCs w:val="22"/>
        </w:rPr>
      </w:pPr>
      <w:r w:rsidRPr="0057309D">
        <w:rPr>
          <w:sz w:val="22"/>
          <w:szCs w:val="22"/>
        </w:rPr>
        <w:t xml:space="preserve">Wnioskiem z </w:t>
      </w:r>
      <w:r w:rsidR="007512B5" w:rsidRPr="0057309D">
        <w:rPr>
          <w:sz w:val="22"/>
          <w:szCs w:val="22"/>
        </w:rPr>
        <w:t>dni</w:t>
      </w:r>
      <w:r w:rsidRPr="0057309D">
        <w:rPr>
          <w:sz w:val="22"/>
          <w:szCs w:val="22"/>
        </w:rPr>
        <w:t>a</w:t>
      </w:r>
      <w:r w:rsidR="007512B5" w:rsidRPr="0057309D">
        <w:rPr>
          <w:sz w:val="22"/>
          <w:szCs w:val="22"/>
        </w:rPr>
        <w:t xml:space="preserve"> 20 listopada 2019 r. </w:t>
      </w:r>
      <w:r w:rsidRPr="0057309D">
        <w:rPr>
          <w:sz w:val="22"/>
          <w:szCs w:val="22"/>
        </w:rPr>
        <w:t>akcjonariusze Porozumienia złożyli z kolei</w:t>
      </w:r>
      <w:r w:rsidR="007512B5" w:rsidRPr="0057309D">
        <w:rPr>
          <w:sz w:val="22"/>
          <w:szCs w:val="22"/>
        </w:rPr>
        <w:t xml:space="preserve"> wniosek o wyznaczenie rewidenta do spraw szczególnych oraz zobowiązanie go do zbadania jaki wpływ na wartość majątku Elektrim S.A. jako jednostki dominującej Grupy Elektrim S.A. miała transakcja polegająca na objęciu przez ToBe Investments Ltd z siedzibą na Wyspach Dziewiczych 10 003 nowoutworzonych udziałów we wchodzącej w skład Grupy Elektrim S.A. spółce prawa cypryjskiego Pantanomo Ltd. w zamian za wkład pieniężny w wysokości 430.129.000,00 zł, w wyniku której to transakcji udział Elektrim S.A., jako jednostki dominującej Grupy Elektrim S.A., w kapitale podstawowym  Pantanomo Ltd. spadł z 99,94% do 49,11%.</w:t>
      </w:r>
      <w:r w:rsidRPr="0057309D">
        <w:rPr>
          <w:sz w:val="22"/>
          <w:szCs w:val="22"/>
        </w:rPr>
        <w:t xml:space="preserve"> Sprawa ta zakończyła się pozytywnym rozstrzygnięciem dla akcjonariuszy Porozumienia. Obecnie akcjonariusze podejmują działania celem doprowadzenia do wykonania postanowienia sądu przez wyznaczonego rewidenta ds. szczególnych.</w:t>
      </w:r>
    </w:p>
    <w:p w14:paraId="53AB280D" w14:textId="2A580407" w:rsidR="003F1B50" w:rsidRPr="0057309D" w:rsidRDefault="003F1B50" w:rsidP="002D5DC0">
      <w:pPr>
        <w:spacing w:line="276" w:lineRule="auto"/>
        <w:jc w:val="both"/>
        <w:rPr>
          <w:bCs/>
          <w:sz w:val="22"/>
          <w:szCs w:val="22"/>
        </w:rPr>
      </w:pPr>
      <w:r w:rsidRPr="0057309D">
        <w:rPr>
          <w:sz w:val="22"/>
          <w:szCs w:val="22"/>
        </w:rPr>
        <w:t xml:space="preserve">W sprawie Portu Praskiego z zawiadomienia akcjonariuszy Porozumienia prowadzone było </w:t>
      </w:r>
      <w:r w:rsidR="002D5DC0" w:rsidRPr="0057309D">
        <w:rPr>
          <w:sz w:val="22"/>
          <w:szCs w:val="22"/>
        </w:rPr>
        <w:t>natomiast</w:t>
      </w:r>
      <w:r w:rsidR="00057DE3" w:rsidRPr="0057309D">
        <w:rPr>
          <w:sz w:val="22"/>
          <w:szCs w:val="22"/>
        </w:rPr>
        <w:t xml:space="preserve"> przez Prokuraturę Okręgową Warszawa-Praga w Warszawie</w:t>
      </w:r>
      <w:r w:rsidRPr="0057309D">
        <w:rPr>
          <w:sz w:val="22"/>
          <w:szCs w:val="22"/>
        </w:rPr>
        <w:t xml:space="preserve"> </w:t>
      </w:r>
      <w:r w:rsidR="00057DE3" w:rsidRPr="0057309D">
        <w:rPr>
          <w:sz w:val="22"/>
          <w:szCs w:val="22"/>
        </w:rPr>
        <w:t xml:space="preserve">postępowanie </w:t>
      </w:r>
      <w:r w:rsidR="002E2E01" w:rsidRPr="0057309D">
        <w:rPr>
          <w:sz w:val="22"/>
          <w:szCs w:val="22"/>
        </w:rPr>
        <w:t>w sprawie o przestępstwo z art. 296 k.k</w:t>
      </w:r>
      <w:r w:rsidR="00E32982" w:rsidRPr="0057309D">
        <w:rPr>
          <w:sz w:val="22"/>
          <w:szCs w:val="22"/>
        </w:rPr>
        <w:t xml:space="preserve"> pod sygn. PO II DS.262020</w:t>
      </w:r>
      <w:r w:rsidR="004A2349" w:rsidRPr="0057309D">
        <w:rPr>
          <w:sz w:val="22"/>
          <w:szCs w:val="22"/>
        </w:rPr>
        <w:t xml:space="preserve"> w sprawi</w:t>
      </w:r>
      <w:r w:rsidR="00E32982" w:rsidRPr="0057309D">
        <w:rPr>
          <w:sz w:val="22"/>
          <w:szCs w:val="22"/>
        </w:rPr>
        <w:t xml:space="preserve">. </w:t>
      </w:r>
      <w:r w:rsidR="004606FB" w:rsidRPr="0057309D">
        <w:rPr>
          <w:sz w:val="22"/>
          <w:szCs w:val="22"/>
        </w:rPr>
        <w:t>Postępowani</w:t>
      </w:r>
      <w:r w:rsidR="006E1FD7" w:rsidRPr="0057309D">
        <w:rPr>
          <w:sz w:val="22"/>
          <w:szCs w:val="22"/>
        </w:rPr>
        <w:t>e</w:t>
      </w:r>
      <w:r w:rsidR="00E32982" w:rsidRPr="0057309D">
        <w:rPr>
          <w:sz w:val="22"/>
          <w:szCs w:val="22"/>
        </w:rPr>
        <w:t xml:space="preserve"> to został</w:t>
      </w:r>
      <w:r w:rsidR="006240D0" w:rsidRPr="0057309D">
        <w:rPr>
          <w:sz w:val="22"/>
          <w:szCs w:val="22"/>
        </w:rPr>
        <w:t>o</w:t>
      </w:r>
      <w:r w:rsidR="00E32982" w:rsidRPr="0057309D">
        <w:rPr>
          <w:sz w:val="22"/>
          <w:szCs w:val="22"/>
        </w:rPr>
        <w:t xml:space="preserve"> co prawda umorzone, </w:t>
      </w:r>
      <w:r w:rsidR="00260A91" w:rsidRPr="0057309D">
        <w:rPr>
          <w:sz w:val="22"/>
          <w:szCs w:val="22"/>
        </w:rPr>
        <w:t>niemniej</w:t>
      </w:r>
      <w:r w:rsidR="009B4352" w:rsidRPr="0057309D">
        <w:rPr>
          <w:sz w:val="22"/>
          <w:szCs w:val="22"/>
        </w:rPr>
        <w:t xml:space="preserve"> </w:t>
      </w:r>
      <w:r w:rsidR="009B4352" w:rsidRPr="0057309D">
        <w:rPr>
          <w:bCs/>
          <w:sz w:val="22"/>
          <w:szCs w:val="22"/>
        </w:rPr>
        <w:t xml:space="preserve">Sąd Okręgowy Warszawa-Praga w Warszawie V Wydział Karny postanowieniem z dnia 28 września 2021 r. sygn. akt V Kp 615/21 uwzględnił zażalenie Przewodniczącego Urzędu Komisji Nadzoru Finansowego na postanowienie Prokuratora Prokuratury Okręgowej Warszawa-Praga w Warszawie z dnia 17 grudnia 2020 r. o umorzeniu śledztwa. W treści uzasadnienia przywołanego postanowienia Sąd Okręgowy wskazał na zasadność przeprowadzenia w sprawie dowodu z opinii biegłego sądowego lub łącznej opinii kilku biegłych sądowych stosownych specjalności na okoliczność ustalenia wartości rynkowej przedsiębiorstwa spółki Pantanamo Ltd. </w:t>
      </w:r>
      <w:r w:rsidR="004854C1">
        <w:rPr>
          <w:bCs/>
          <w:sz w:val="22"/>
          <w:szCs w:val="22"/>
        </w:rPr>
        <w:t>z</w:t>
      </w:r>
      <w:r w:rsidR="004854C1" w:rsidRPr="0057309D">
        <w:rPr>
          <w:bCs/>
          <w:sz w:val="22"/>
          <w:szCs w:val="22"/>
        </w:rPr>
        <w:t xml:space="preserve"> </w:t>
      </w:r>
      <w:r w:rsidR="009B4352" w:rsidRPr="0057309D">
        <w:rPr>
          <w:bCs/>
          <w:sz w:val="22"/>
          <w:szCs w:val="22"/>
        </w:rPr>
        <w:t>siedzibą na Cyprze, w tym wartości rynkowej nieruchomości wchodzących w skład majątku spółki</w:t>
      </w:r>
      <w:r w:rsidR="004854C1">
        <w:rPr>
          <w:bCs/>
          <w:sz w:val="22"/>
          <w:szCs w:val="22"/>
        </w:rPr>
        <w:t xml:space="preserve"> </w:t>
      </w:r>
      <w:r w:rsidR="004854C1" w:rsidRPr="0057309D">
        <w:rPr>
          <w:bCs/>
          <w:sz w:val="22"/>
          <w:szCs w:val="22"/>
        </w:rPr>
        <w:t>Pantanamo Ltd</w:t>
      </w:r>
      <w:r w:rsidR="009B4352" w:rsidRPr="0057309D">
        <w:rPr>
          <w:bCs/>
          <w:sz w:val="22"/>
          <w:szCs w:val="22"/>
        </w:rPr>
        <w:t>, celem określenia wartości rynkowej udziałów spółki</w:t>
      </w:r>
      <w:r w:rsidR="004854C1">
        <w:rPr>
          <w:bCs/>
          <w:sz w:val="22"/>
          <w:szCs w:val="22"/>
        </w:rPr>
        <w:t xml:space="preserve"> </w:t>
      </w:r>
      <w:r w:rsidR="004854C1" w:rsidRPr="0057309D">
        <w:rPr>
          <w:bCs/>
          <w:sz w:val="22"/>
          <w:szCs w:val="22"/>
        </w:rPr>
        <w:t>Pantanamo Ltd</w:t>
      </w:r>
      <w:r w:rsidR="009B4352" w:rsidRPr="0057309D">
        <w:rPr>
          <w:bCs/>
          <w:sz w:val="22"/>
          <w:szCs w:val="22"/>
        </w:rPr>
        <w:t xml:space="preserve"> objętych w podwyższonym kapitale zakładowym, objętych przez spółkę ToBe Investments Limited z siedzibą na Brytyjskich Wyspach Dziewiczych. W ocenie Sądu istotą prowadzonego na dotychczasowym etapie śledztwa było bowiem ustalenie czy objęcie udziałów w spółce Pantanamo Ltd. </w:t>
      </w:r>
      <w:r w:rsidR="004854C1">
        <w:rPr>
          <w:bCs/>
          <w:sz w:val="22"/>
          <w:szCs w:val="22"/>
        </w:rPr>
        <w:t>z</w:t>
      </w:r>
      <w:r w:rsidR="004854C1" w:rsidRPr="0057309D">
        <w:rPr>
          <w:bCs/>
          <w:sz w:val="22"/>
          <w:szCs w:val="22"/>
        </w:rPr>
        <w:t xml:space="preserve">a </w:t>
      </w:r>
      <w:r w:rsidR="009B4352" w:rsidRPr="0057309D">
        <w:rPr>
          <w:bCs/>
          <w:sz w:val="22"/>
          <w:szCs w:val="22"/>
        </w:rPr>
        <w:t xml:space="preserve">wkład pieniężny w wysokości 430.129.00,00 zł odpowiadało wartości rynkowej udziałów w spółce, czy nie, a zatem czy doszło do wyrządzenia spółce szkody majątkowej. </w:t>
      </w:r>
    </w:p>
    <w:p w14:paraId="682C6618" w14:textId="77777777" w:rsidR="001D1F45" w:rsidRPr="0057309D" w:rsidRDefault="001D1F45" w:rsidP="002D5DC0">
      <w:pPr>
        <w:spacing w:line="276" w:lineRule="auto"/>
        <w:jc w:val="both"/>
        <w:rPr>
          <w:sz w:val="22"/>
          <w:szCs w:val="22"/>
        </w:rPr>
      </w:pPr>
    </w:p>
    <w:p w14:paraId="0A558BBA" w14:textId="77777777" w:rsidR="006D371A" w:rsidRPr="0057309D" w:rsidRDefault="001D1F45" w:rsidP="002D5DC0">
      <w:pPr>
        <w:spacing w:line="276" w:lineRule="auto"/>
        <w:jc w:val="both"/>
        <w:rPr>
          <w:sz w:val="22"/>
          <w:szCs w:val="22"/>
        </w:rPr>
      </w:pPr>
      <w:r w:rsidRPr="0057309D">
        <w:rPr>
          <w:sz w:val="22"/>
          <w:szCs w:val="22"/>
        </w:rPr>
        <w:t>Wyjaśnić</w:t>
      </w:r>
      <w:r w:rsidR="00C124AD" w:rsidRPr="0057309D">
        <w:rPr>
          <w:sz w:val="22"/>
          <w:szCs w:val="22"/>
        </w:rPr>
        <w:t xml:space="preserve"> również</w:t>
      </w:r>
      <w:r w:rsidRPr="0057309D">
        <w:rPr>
          <w:sz w:val="22"/>
          <w:szCs w:val="22"/>
        </w:rPr>
        <w:t xml:space="preserve"> należy, iż w świetle ostatnich komunikatów</w:t>
      </w:r>
      <w:r w:rsidR="001F21B7" w:rsidRPr="0057309D">
        <w:rPr>
          <w:sz w:val="22"/>
          <w:szCs w:val="22"/>
        </w:rPr>
        <w:t xml:space="preserve"> </w:t>
      </w:r>
      <w:r w:rsidR="0057309D">
        <w:rPr>
          <w:sz w:val="22"/>
          <w:szCs w:val="22"/>
        </w:rPr>
        <w:t>Grupy</w:t>
      </w:r>
      <w:r w:rsidR="00DB42D5" w:rsidRPr="0057309D">
        <w:rPr>
          <w:sz w:val="22"/>
          <w:szCs w:val="22"/>
        </w:rPr>
        <w:t xml:space="preserve"> Cyfrowy Polsat również kontrolowanej przez Zygmunta Solorza</w:t>
      </w:r>
      <w:r w:rsidR="0057309D">
        <w:rPr>
          <w:sz w:val="22"/>
          <w:szCs w:val="22"/>
        </w:rPr>
        <w:t>,</w:t>
      </w:r>
      <w:r w:rsidR="00DB42D5" w:rsidRPr="0057309D">
        <w:rPr>
          <w:sz w:val="22"/>
          <w:szCs w:val="22"/>
        </w:rPr>
        <w:t xml:space="preserve"> Cyfrowy Polsat</w:t>
      </w:r>
      <w:r w:rsidR="0057309D">
        <w:rPr>
          <w:sz w:val="22"/>
          <w:szCs w:val="22"/>
        </w:rPr>
        <w:t xml:space="preserve"> </w:t>
      </w:r>
      <w:r w:rsidR="0057309D" w:rsidRPr="0057309D">
        <w:rPr>
          <w:sz w:val="22"/>
          <w:szCs w:val="22"/>
        </w:rPr>
        <w:t>S.A.</w:t>
      </w:r>
      <w:r w:rsidR="0057309D">
        <w:rPr>
          <w:sz w:val="22"/>
          <w:szCs w:val="22"/>
        </w:rPr>
        <w:t>,</w:t>
      </w:r>
      <w:r w:rsidR="0057309D" w:rsidRPr="0057309D">
        <w:rPr>
          <w:sz w:val="22"/>
          <w:szCs w:val="22"/>
        </w:rPr>
        <w:t xml:space="preserve"> </w:t>
      </w:r>
      <w:r w:rsidR="00DB42D5" w:rsidRPr="0057309D">
        <w:rPr>
          <w:sz w:val="22"/>
          <w:szCs w:val="22"/>
        </w:rPr>
        <w:t xml:space="preserve"> zawarł z  Embud 2 S.K.A., tj. </w:t>
      </w:r>
      <w:r w:rsidR="00467A1D" w:rsidRPr="0057309D">
        <w:rPr>
          <w:sz w:val="22"/>
          <w:szCs w:val="22"/>
        </w:rPr>
        <w:t>spół</w:t>
      </w:r>
      <w:r w:rsidR="00347FFE">
        <w:rPr>
          <w:sz w:val="22"/>
          <w:szCs w:val="22"/>
        </w:rPr>
        <w:t>k</w:t>
      </w:r>
      <w:r w:rsidR="00467A1D" w:rsidRPr="0057309D">
        <w:rPr>
          <w:sz w:val="22"/>
          <w:szCs w:val="22"/>
        </w:rPr>
        <w:t xml:space="preserve">ą zależną Elektrim S.A. </w:t>
      </w:r>
      <w:r w:rsidR="00DB42D5" w:rsidRPr="0057309D">
        <w:rPr>
          <w:sz w:val="22"/>
          <w:szCs w:val="22"/>
        </w:rPr>
        <w:t>umowę kupna 66,94 proc. udziałów Portu Praskiego za 553,7 mln zł</w:t>
      </w:r>
      <w:r w:rsidR="00467A1D" w:rsidRPr="0057309D">
        <w:rPr>
          <w:sz w:val="22"/>
          <w:szCs w:val="22"/>
        </w:rPr>
        <w:t xml:space="preserve">. </w:t>
      </w:r>
      <w:r w:rsidR="00711C85" w:rsidRPr="0057309D">
        <w:rPr>
          <w:sz w:val="22"/>
          <w:szCs w:val="22"/>
        </w:rPr>
        <w:t xml:space="preserve">W rzeczonym komunikacie wskazano dodatkowo, iż, w związku z trwającymi analizami dotyczącymi finalnej struktury kapitałowej, do której należy Pantanomo Ltd, Cyfrowy Polsat zawarł aneks do przedwstępnej umowy dotyczącej nabycia 32 proc. udziałów w Pantanomo, dotyczący przesunięcia daty zawarcia transakcji na 31 maja 2022 roku. W konsekwencji planowana transakcji doprowadzi do całkowitego wyjścia z Grupy Elektrim </w:t>
      </w:r>
      <w:r w:rsidR="007046D5" w:rsidRPr="0057309D">
        <w:rPr>
          <w:sz w:val="22"/>
          <w:szCs w:val="22"/>
        </w:rPr>
        <w:t xml:space="preserve">wszelkich spółek i aktywów Portu Praskiego. W ocenie akcjonariuszy oznacza to, że niezwykle cenne tereny inwestycyjne </w:t>
      </w:r>
      <w:r w:rsidR="004854C1">
        <w:rPr>
          <w:sz w:val="22"/>
          <w:szCs w:val="22"/>
        </w:rPr>
        <w:t xml:space="preserve">a także inny majątek trwały </w:t>
      </w:r>
      <w:r w:rsidR="007046D5" w:rsidRPr="0057309D">
        <w:rPr>
          <w:sz w:val="22"/>
          <w:szCs w:val="22"/>
        </w:rPr>
        <w:t>zostaną z Grupy Elektrim S.A. wyprowadzone do innej spółki kontrolowanej przez głównego akcjonariusza</w:t>
      </w:r>
      <w:r w:rsidR="004854C1">
        <w:rPr>
          <w:sz w:val="22"/>
          <w:szCs w:val="22"/>
        </w:rPr>
        <w:t xml:space="preserve"> po zaniżonej cenie</w:t>
      </w:r>
      <w:r w:rsidR="007046D5" w:rsidRPr="0057309D">
        <w:rPr>
          <w:sz w:val="22"/>
          <w:szCs w:val="22"/>
        </w:rPr>
        <w:t>.</w:t>
      </w:r>
    </w:p>
    <w:p w14:paraId="0EDE0C5B" w14:textId="77777777" w:rsidR="001D12AC" w:rsidRPr="0057309D" w:rsidRDefault="001D12AC" w:rsidP="002D5DC0">
      <w:pPr>
        <w:spacing w:line="276" w:lineRule="auto"/>
        <w:jc w:val="both"/>
        <w:rPr>
          <w:sz w:val="22"/>
          <w:szCs w:val="22"/>
        </w:rPr>
      </w:pPr>
    </w:p>
    <w:p w14:paraId="778CB1DB" w14:textId="77777777" w:rsidR="001D7001" w:rsidRPr="0057309D" w:rsidRDefault="00546132" w:rsidP="002D5DC0">
      <w:pPr>
        <w:spacing w:line="276" w:lineRule="auto"/>
        <w:jc w:val="both"/>
        <w:rPr>
          <w:sz w:val="22"/>
          <w:szCs w:val="22"/>
        </w:rPr>
      </w:pPr>
      <w:r w:rsidRPr="0057309D">
        <w:rPr>
          <w:sz w:val="22"/>
          <w:szCs w:val="22"/>
        </w:rPr>
        <w:t xml:space="preserve">Dodać przy tym </w:t>
      </w:r>
      <w:r w:rsidR="00C124AD" w:rsidRPr="0057309D">
        <w:rPr>
          <w:sz w:val="22"/>
          <w:szCs w:val="22"/>
        </w:rPr>
        <w:t>także trzeba</w:t>
      </w:r>
      <w:r w:rsidRPr="0057309D">
        <w:rPr>
          <w:sz w:val="22"/>
          <w:szCs w:val="22"/>
        </w:rPr>
        <w:t xml:space="preserve">, iż </w:t>
      </w:r>
      <w:r w:rsidR="00DC6661" w:rsidRPr="0057309D">
        <w:rPr>
          <w:sz w:val="22"/>
          <w:szCs w:val="22"/>
        </w:rPr>
        <w:t xml:space="preserve">wydarzenia ostatnich miesięcy wyraźnie wskazują, iż sytuacja prawna i finansowa Spółki ulega stopniowej, lecz znaczącej poprawie. W szczególności wskazać należy na pozytywne i ostateczne rozstrzygnięcia spraw podatkowych, w tym na korzystny wyrok NSA z dnia 24 października 2019 r. sygn. akt II FSK 3309/18 dotyczący podatku dochodowego od osób prawnych za 2006 r. oraz na wyrok NSA z dnia 11 sierpnia 2021 r. sygn. akt II FSK 1713/17 dotyczący podatku dochodowego od osób prawnych za 2011 r. Wskutek wyroku dotyczącego podatku za 2006 r. Spółka rozwiązała już rezerwę na podatek w wysokości 638 mln. zł. Z kolei po wykonaniu przez organy podatkowe wyroku dotyczącego podatku za 2011 r. - rozwiązaniu wkrótce zapewne ulegnie kolejna rezerwa ujęta w sprawozdaniu finansowym za 2020 r. w kwocie 875 mln. zł. </w:t>
      </w:r>
      <w:r w:rsidR="00B63D71" w:rsidRPr="0057309D">
        <w:rPr>
          <w:sz w:val="22"/>
          <w:szCs w:val="22"/>
        </w:rPr>
        <w:t>W konsekwencji sama tylko okoliczność zwolnienia rezerw na zobowiązania podatkowe skutkuje bezpośrednim wzrostem jednostkowej ceny akcji Spółki o kwotę 18 zł.</w:t>
      </w:r>
    </w:p>
    <w:p w14:paraId="6B90249A" w14:textId="77777777" w:rsidR="001D7001" w:rsidRPr="0057309D" w:rsidRDefault="001D7001" w:rsidP="002D5DC0">
      <w:pPr>
        <w:spacing w:line="276" w:lineRule="auto"/>
        <w:jc w:val="both"/>
        <w:rPr>
          <w:sz w:val="22"/>
          <w:szCs w:val="22"/>
        </w:rPr>
      </w:pPr>
    </w:p>
    <w:p w14:paraId="13D92681" w14:textId="77777777" w:rsidR="006858EF" w:rsidRPr="0057309D" w:rsidRDefault="001D7001" w:rsidP="002D5DC0">
      <w:pPr>
        <w:spacing w:line="276" w:lineRule="auto"/>
        <w:jc w:val="both"/>
        <w:rPr>
          <w:sz w:val="22"/>
          <w:szCs w:val="22"/>
        </w:rPr>
      </w:pPr>
      <w:r w:rsidRPr="0057309D">
        <w:rPr>
          <w:sz w:val="22"/>
          <w:szCs w:val="22"/>
        </w:rPr>
        <w:t>Tymczasem p</w:t>
      </w:r>
      <w:r w:rsidR="00DC6661" w:rsidRPr="0057309D">
        <w:rPr>
          <w:sz w:val="22"/>
          <w:szCs w:val="22"/>
        </w:rPr>
        <w:t xml:space="preserve">omimo coraz lepszej sytuacji finansowej Spółki – główny akcjonariusz </w:t>
      </w:r>
      <w:r w:rsidRPr="0057309D">
        <w:rPr>
          <w:sz w:val="22"/>
          <w:szCs w:val="22"/>
        </w:rPr>
        <w:t>nie podejmuje starań celem uregulowania trudnej sytuacji akcjonariuszy mniejszościowy</w:t>
      </w:r>
      <w:r w:rsidR="00C72E87" w:rsidRPr="0057309D">
        <w:rPr>
          <w:sz w:val="22"/>
          <w:szCs w:val="22"/>
        </w:rPr>
        <w:t>m, w tym w szczególności nie kieruje wobec akcjonariuszy mniejszościowych jakichkolwiek propozycje. Główny akcjonariusz nie odpowiedział</w:t>
      </w:r>
      <w:r w:rsidR="00345009" w:rsidRPr="0057309D">
        <w:rPr>
          <w:sz w:val="22"/>
          <w:szCs w:val="22"/>
        </w:rPr>
        <w:t xml:space="preserve"> również na zaproszenie Porozumienia do wznowienia rozmów wystosowane pismem z dnia 3 stycznia 2022 r.</w:t>
      </w:r>
    </w:p>
    <w:p w14:paraId="0CA6CE66" w14:textId="77777777" w:rsidR="006858EF" w:rsidRPr="0057309D" w:rsidRDefault="006858EF" w:rsidP="002D5DC0">
      <w:pPr>
        <w:spacing w:line="276" w:lineRule="auto"/>
        <w:jc w:val="both"/>
        <w:rPr>
          <w:sz w:val="22"/>
          <w:szCs w:val="22"/>
        </w:rPr>
      </w:pPr>
    </w:p>
    <w:p w14:paraId="7648E6FC" w14:textId="0D9F4901" w:rsidR="00B63D71" w:rsidRPr="0057309D" w:rsidRDefault="00A7716C" w:rsidP="002D5DC0">
      <w:pPr>
        <w:spacing w:line="276" w:lineRule="auto"/>
        <w:jc w:val="both"/>
        <w:rPr>
          <w:sz w:val="22"/>
          <w:szCs w:val="22"/>
        </w:rPr>
      </w:pPr>
      <w:r w:rsidRPr="0057309D">
        <w:rPr>
          <w:sz w:val="22"/>
          <w:szCs w:val="22"/>
        </w:rPr>
        <w:t xml:space="preserve">Aktualnie </w:t>
      </w:r>
      <w:r w:rsidR="00E5122F" w:rsidRPr="0057309D">
        <w:rPr>
          <w:sz w:val="22"/>
          <w:szCs w:val="22"/>
        </w:rPr>
        <w:t>zarząd Spółki, ani jej główny akcjonariusz,</w:t>
      </w:r>
      <w:r w:rsidRPr="0057309D">
        <w:rPr>
          <w:sz w:val="22"/>
          <w:szCs w:val="22"/>
        </w:rPr>
        <w:t xml:space="preserve"> nie podejmuj</w:t>
      </w:r>
      <w:r w:rsidR="00E5122F" w:rsidRPr="0057309D">
        <w:rPr>
          <w:sz w:val="22"/>
          <w:szCs w:val="22"/>
        </w:rPr>
        <w:t>ą</w:t>
      </w:r>
      <w:r w:rsidRPr="0057309D">
        <w:rPr>
          <w:sz w:val="22"/>
          <w:szCs w:val="22"/>
        </w:rPr>
        <w:t xml:space="preserve"> jakichkolwiek starań celem powrotu na Giełd</w:t>
      </w:r>
      <w:r w:rsidR="00891F73" w:rsidRPr="0057309D">
        <w:rPr>
          <w:sz w:val="22"/>
          <w:szCs w:val="22"/>
        </w:rPr>
        <w:t>ę, zaś</w:t>
      </w:r>
      <w:r w:rsidR="00E5122F" w:rsidRPr="0057309D">
        <w:rPr>
          <w:sz w:val="22"/>
          <w:szCs w:val="22"/>
        </w:rPr>
        <w:t xml:space="preserve"> wszczęte wcześniej</w:t>
      </w:r>
      <w:r w:rsidR="00891F73" w:rsidRPr="0057309D">
        <w:rPr>
          <w:sz w:val="22"/>
          <w:szCs w:val="22"/>
        </w:rPr>
        <w:t xml:space="preserve"> postępowanie o zatwierdzenie prospektu emisyjnego</w:t>
      </w:r>
      <w:r w:rsidR="00344F24" w:rsidRPr="0057309D">
        <w:rPr>
          <w:sz w:val="22"/>
          <w:szCs w:val="22"/>
        </w:rPr>
        <w:t xml:space="preserve"> zawisłej przed KNF </w:t>
      </w:r>
      <w:r w:rsidR="00891F73" w:rsidRPr="0057309D">
        <w:rPr>
          <w:sz w:val="22"/>
          <w:szCs w:val="22"/>
        </w:rPr>
        <w:t>pozostaje zawieszone</w:t>
      </w:r>
      <w:r w:rsidR="00E5122F" w:rsidRPr="0057309D">
        <w:rPr>
          <w:sz w:val="22"/>
          <w:szCs w:val="22"/>
        </w:rPr>
        <w:t xml:space="preserve"> na wniosek zarządu Spółki.</w:t>
      </w:r>
    </w:p>
    <w:p w14:paraId="65D239C5" w14:textId="77777777" w:rsidR="00B63D71" w:rsidRPr="0057309D" w:rsidRDefault="00B63D71" w:rsidP="002D5DC0">
      <w:pPr>
        <w:spacing w:line="276" w:lineRule="auto"/>
        <w:jc w:val="both"/>
        <w:rPr>
          <w:sz w:val="22"/>
          <w:szCs w:val="22"/>
        </w:rPr>
      </w:pPr>
    </w:p>
    <w:p w14:paraId="4CFF2DE1" w14:textId="77777777" w:rsidR="00DC6661" w:rsidRPr="0057309D" w:rsidRDefault="00A7716C" w:rsidP="002D5DC0">
      <w:pPr>
        <w:spacing w:line="276" w:lineRule="auto"/>
        <w:jc w:val="both"/>
        <w:rPr>
          <w:sz w:val="22"/>
          <w:szCs w:val="22"/>
        </w:rPr>
      </w:pPr>
      <w:r w:rsidRPr="0057309D">
        <w:rPr>
          <w:sz w:val="22"/>
          <w:szCs w:val="22"/>
        </w:rPr>
        <w:t xml:space="preserve">Główny akcjonariusz </w:t>
      </w:r>
      <w:r w:rsidR="00BE2C86" w:rsidRPr="0057309D">
        <w:rPr>
          <w:sz w:val="22"/>
          <w:szCs w:val="22"/>
        </w:rPr>
        <w:t xml:space="preserve">nie wyraża również zgody na wprowadzenie do spółki niezależnych audytorów oraz aktywnie przeciwdziała </w:t>
      </w:r>
      <w:r w:rsidR="006858EF" w:rsidRPr="0057309D">
        <w:rPr>
          <w:sz w:val="22"/>
          <w:szCs w:val="22"/>
        </w:rPr>
        <w:t>uwzględnieniu sądowego wniosku o powołanie rewidenta do spraw szczególnych</w:t>
      </w:r>
      <w:r w:rsidR="00A477D0" w:rsidRPr="0057309D">
        <w:rPr>
          <w:sz w:val="22"/>
          <w:szCs w:val="22"/>
        </w:rPr>
        <w:t xml:space="preserve"> w ramach prowadzonego postępowania sądowego.</w:t>
      </w:r>
    </w:p>
    <w:p w14:paraId="748FFF7B" w14:textId="77777777" w:rsidR="00A477D0" w:rsidRPr="0057309D" w:rsidRDefault="00A477D0" w:rsidP="002D5DC0">
      <w:pPr>
        <w:spacing w:line="276" w:lineRule="auto"/>
        <w:jc w:val="both"/>
        <w:rPr>
          <w:sz w:val="22"/>
          <w:szCs w:val="22"/>
        </w:rPr>
      </w:pPr>
    </w:p>
    <w:p w14:paraId="5348FD5B" w14:textId="16FAE730" w:rsidR="00AD57CC" w:rsidRPr="0057309D" w:rsidRDefault="00A477D0" w:rsidP="002D5DC0">
      <w:pPr>
        <w:spacing w:line="276" w:lineRule="auto"/>
        <w:jc w:val="both"/>
        <w:rPr>
          <w:sz w:val="22"/>
          <w:szCs w:val="22"/>
        </w:rPr>
      </w:pPr>
      <w:r w:rsidRPr="0057309D">
        <w:rPr>
          <w:sz w:val="22"/>
          <w:szCs w:val="22"/>
        </w:rPr>
        <w:t xml:space="preserve">Stąd też w pełni uzasadniony </w:t>
      </w:r>
      <w:r w:rsidR="005B0B6F" w:rsidRPr="0057309D">
        <w:rPr>
          <w:sz w:val="22"/>
          <w:szCs w:val="22"/>
        </w:rPr>
        <w:t>pozostaje obecnie</w:t>
      </w:r>
      <w:r w:rsidRPr="0057309D">
        <w:rPr>
          <w:sz w:val="22"/>
          <w:szCs w:val="22"/>
        </w:rPr>
        <w:t xml:space="preserve"> wniosek, iż </w:t>
      </w:r>
      <w:r w:rsidR="006D7B8C" w:rsidRPr="0057309D">
        <w:rPr>
          <w:sz w:val="22"/>
          <w:szCs w:val="22"/>
        </w:rPr>
        <w:t xml:space="preserve">działania głównego akcjonariusza </w:t>
      </w:r>
      <w:r w:rsidR="007236E3" w:rsidRPr="0057309D">
        <w:rPr>
          <w:sz w:val="22"/>
          <w:szCs w:val="22"/>
        </w:rPr>
        <w:t xml:space="preserve">i zarządu Spółki </w:t>
      </w:r>
      <w:r w:rsidR="00640254">
        <w:rPr>
          <w:sz w:val="22"/>
          <w:szCs w:val="22"/>
        </w:rPr>
        <w:t xml:space="preserve">(działającego na rzez głównego akcjonariusza) </w:t>
      </w:r>
      <w:r w:rsidR="00AD17FB">
        <w:rPr>
          <w:sz w:val="22"/>
          <w:szCs w:val="22"/>
        </w:rPr>
        <w:t xml:space="preserve">nie są nacechowane dobrymi intencjami i </w:t>
      </w:r>
      <w:r w:rsidR="006D7B8C" w:rsidRPr="0057309D">
        <w:rPr>
          <w:sz w:val="22"/>
          <w:szCs w:val="22"/>
        </w:rPr>
        <w:t xml:space="preserve">w znacznym stopniu </w:t>
      </w:r>
      <w:r w:rsidR="005B0B6F" w:rsidRPr="0057309D">
        <w:rPr>
          <w:sz w:val="22"/>
          <w:szCs w:val="22"/>
        </w:rPr>
        <w:t>sprowadzająca się do ogranicz</w:t>
      </w:r>
      <w:r w:rsidR="006C5328">
        <w:rPr>
          <w:sz w:val="22"/>
          <w:szCs w:val="22"/>
        </w:rPr>
        <w:t>a</w:t>
      </w:r>
      <w:r w:rsidR="005B0B6F" w:rsidRPr="0057309D">
        <w:rPr>
          <w:sz w:val="22"/>
          <w:szCs w:val="22"/>
        </w:rPr>
        <w:t>nia</w:t>
      </w:r>
      <w:r w:rsidR="006D7B8C" w:rsidRPr="0057309D">
        <w:rPr>
          <w:sz w:val="22"/>
          <w:szCs w:val="22"/>
        </w:rPr>
        <w:t xml:space="preserve"> uprawnień akcjonariuszy mniejszościowych</w:t>
      </w:r>
      <w:r w:rsidR="009769F3" w:rsidRPr="0057309D">
        <w:rPr>
          <w:sz w:val="22"/>
          <w:szCs w:val="22"/>
        </w:rPr>
        <w:t xml:space="preserve">. </w:t>
      </w:r>
      <w:r w:rsidR="007236E3" w:rsidRPr="0057309D">
        <w:rPr>
          <w:sz w:val="22"/>
          <w:szCs w:val="22"/>
        </w:rPr>
        <w:t xml:space="preserve">Główny akcjonariusz i wykonujący jego wolę zarząd Spółki nie </w:t>
      </w:r>
      <w:r w:rsidR="001A4B9B" w:rsidRPr="0057309D">
        <w:rPr>
          <w:sz w:val="22"/>
          <w:szCs w:val="22"/>
        </w:rPr>
        <w:t>wykazują obecnie jakiejkolwiek woli celem polubownego rozwiązania spraw</w:t>
      </w:r>
      <w:r w:rsidR="00AD57CC" w:rsidRPr="0057309D">
        <w:rPr>
          <w:sz w:val="22"/>
          <w:szCs w:val="22"/>
        </w:rPr>
        <w:t>y</w:t>
      </w:r>
      <w:r w:rsidR="001A4B9B" w:rsidRPr="0057309D">
        <w:rPr>
          <w:sz w:val="22"/>
          <w:szCs w:val="22"/>
        </w:rPr>
        <w:t xml:space="preserve"> </w:t>
      </w:r>
      <w:r w:rsidR="00AD57CC" w:rsidRPr="0057309D">
        <w:rPr>
          <w:sz w:val="22"/>
          <w:szCs w:val="22"/>
        </w:rPr>
        <w:t xml:space="preserve">akcjonariuszy mniejszościowych. </w:t>
      </w:r>
      <w:r w:rsidR="00AD17FB">
        <w:rPr>
          <w:sz w:val="22"/>
          <w:szCs w:val="22"/>
        </w:rPr>
        <w:t>Brak woli współpracy wynika przede wszystkim z faktu, iż główny akcjonariusz dysponując ponad 80% głosów w Spółce</w:t>
      </w:r>
      <w:r w:rsidR="0090512C">
        <w:rPr>
          <w:sz w:val="22"/>
          <w:szCs w:val="22"/>
        </w:rPr>
        <w:t>,</w:t>
      </w:r>
      <w:r w:rsidR="00AD17FB">
        <w:rPr>
          <w:sz w:val="22"/>
          <w:szCs w:val="22"/>
        </w:rPr>
        <w:t xml:space="preserve"> zachowuje pełną kontrolę</w:t>
      </w:r>
      <w:r w:rsidR="00D177F0">
        <w:rPr>
          <w:sz w:val="22"/>
          <w:szCs w:val="22"/>
        </w:rPr>
        <w:t xml:space="preserve"> nad Spółka i jej aktywami</w:t>
      </w:r>
      <w:r w:rsidR="00AD17FB">
        <w:rPr>
          <w:sz w:val="22"/>
          <w:szCs w:val="22"/>
        </w:rPr>
        <w:t xml:space="preserve">, bez konieczności liczenia się ze zdaniem </w:t>
      </w:r>
      <w:r w:rsidR="00640254">
        <w:rPr>
          <w:sz w:val="22"/>
          <w:szCs w:val="22"/>
        </w:rPr>
        <w:t xml:space="preserve">akcjonariuszy </w:t>
      </w:r>
      <w:r w:rsidR="00AD17FB">
        <w:rPr>
          <w:sz w:val="22"/>
          <w:szCs w:val="22"/>
        </w:rPr>
        <w:t>mniejszości</w:t>
      </w:r>
      <w:r w:rsidR="00640254">
        <w:rPr>
          <w:sz w:val="22"/>
          <w:szCs w:val="22"/>
        </w:rPr>
        <w:t>owych</w:t>
      </w:r>
      <w:r w:rsidR="00AD17FB">
        <w:rPr>
          <w:sz w:val="22"/>
          <w:szCs w:val="22"/>
        </w:rPr>
        <w:t>.</w:t>
      </w:r>
      <w:r w:rsidR="001313AE">
        <w:rPr>
          <w:sz w:val="22"/>
          <w:szCs w:val="22"/>
        </w:rPr>
        <w:t xml:space="preserve"> Taki stan rzeczy oczywiście jest satysfakcjonujący dla akcjonariusza większościowego, </w:t>
      </w:r>
      <w:r w:rsidR="0090512C">
        <w:rPr>
          <w:sz w:val="22"/>
          <w:szCs w:val="22"/>
        </w:rPr>
        <w:t>lecz</w:t>
      </w:r>
      <w:r w:rsidR="001313AE">
        <w:rPr>
          <w:sz w:val="22"/>
          <w:szCs w:val="22"/>
        </w:rPr>
        <w:t xml:space="preserve"> akcjonariuszom mniejszościowym uniemożliwia lub utrudnia dysponowanie </w:t>
      </w:r>
      <w:r w:rsidR="00486FAD">
        <w:rPr>
          <w:sz w:val="22"/>
          <w:szCs w:val="22"/>
        </w:rPr>
        <w:t>swoim majątkiem i nadz</w:t>
      </w:r>
      <w:r w:rsidR="00640254">
        <w:rPr>
          <w:sz w:val="22"/>
          <w:szCs w:val="22"/>
        </w:rPr>
        <w:t>orem</w:t>
      </w:r>
      <w:r w:rsidR="00486FAD">
        <w:rPr>
          <w:sz w:val="22"/>
          <w:szCs w:val="22"/>
        </w:rPr>
        <w:t xml:space="preserve"> nad </w:t>
      </w:r>
      <w:r w:rsidR="00640254">
        <w:rPr>
          <w:sz w:val="22"/>
          <w:szCs w:val="22"/>
        </w:rPr>
        <w:t>majątkiem Spółki</w:t>
      </w:r>
      <w:r w:rsidR="00486FAD">
        <w:rPr>
          <w:sz w:val="22"/>
          <w:szCs w:val="22"/>
        </w:rPr>
        <w:t>.</w:t>
      </w:r>
    </w:p>
    <w:p w14:paraId="322C66A6" w14:textId="77777777" w:rsidR="00AD57CC" w:rsidRPr="0057309D" w:rsidRDefault="00AD57CC" w:rsidP="002D5DC0">
      <w:pPr>
        <w:spacing w:line="276" w:lineRule="auto"/>
        <w:jc w:val="both"/>
        <w:rPr>
          <w:sz w:val="22"/>
          <w:szCs w:val="22"/>
        </w:rPr>
      </w:pPr>
    </w:p>
    <w:p w14:paraId="6C6AB8EE" w14:textId="3283E079" w:rsidR="00903A53" w:rsidRPr="0057309D" w:rsidRDefault="009769F3" w:rsidP="002D5DC0">
      <w:pPr>
        <w:spacing w:line="276" w:lineRule="auto"/>
        <w:jc w:val="both"/>
        <w:rPr>
          <w:sz w:val="22"/>
          <w:szCs w:val="22"/>
        </w:rPr>
      </w:pPr>
      <w:r w:rsidRPr="0057309D">
        <w:rPr>
          <w:sz w:val="22"/>
          <w:szCs w:val="22"/>
        </w:rPr>
        <w:t xml:space="preserve">Dodatkowo w ocenie akcjonariuszy Porozumienia główny akcjonariusz niektóre transakcje w ramach Grupy Elektrim  </w:t>
      </w:r>
      <w:r w:rsidR="00AD57CC" w:rsidRPr="0057309D">
        <w:rPr>
          <w:sz w:val="22"/>
          <w:szCs w:val="22"/>
        </w:rPr>
        <w:t>zrealizował</w:t>
      </w:r>
      <w:r w:rsidRPr="0057309D">
        <w:rPr>
          <w:sz w:val="22"/>
          <w:szCs w:val="22"/>
        </w:rPr>
        <w:t xml:space="preserve"> przede wszystkim w interesie własnym, nie zaś w interesie Spółki</w:t>
      </w:r>
      <w:r w:rsidR="00DE11A4">
        <w:rPr>
          <w:sz w:val="22"/>
          <w:szCs w:val="22"/>
        </w:rPr>
        <w:t>, czego najlepszym przykładem jest wyprowadzanie</w:t>
      </w:r>
      <w:r w:rsidR="00640254">
        <w:rPr>
          <w:sz w:val="22"/>
          <w:szCs w:val="22"/>
        </w:rPr>
        <w:t xml:space="preserve"> </w:t>
      </w:r>
      <w:r w:rsidR="00DE11A4">
        <w:rPr>
          <w:sz w:val="22"/>
          <w:szCs w:val="22"/>
        </w:rPr>
        <w:t xml:space="preserve">poza grupę </w:t>
      </w:r>
      <w:r w:rsidR="00640254">
        <w:rPr>
          <w:sz w:val="22"/>
          <w:szCs w:val="22"/>
        </w:rPr>
        <w:t xml:space="preserve">części </w:t>
      </w:r>
      <w:r w:rsidR="00DE11A4">
        <w:rPr>
          <w:sz w:val="22"/>
          <w:szCs w:val="22"/>
        </w:rPr>
        <w:t>Portu Praskiego.</w:t>
      </w:r>
      <w:r w:rsidRPr="0057309D">
        <w:rPr>
          <w:sz w:val="22"/>
          <w:szCs w:val="22"/>
        </w:rPr>
        <w:t xml:space="preserve"> W konsekwencji</w:t>
      </w:r>
      <w:r w:rsidR="00AD57CC" w:rsidRPr="0057309D">
        <w:rPr>
          <w:sz w:val="22"/>
          <w:szCs w:val="22"/>
        </w:rPr>
        <w:t>, wobec</w:t>
      </w:r>
      <w:r w:rsidRPr="0057309D">
        <w:rPr>
          <w:sz w:val="22"/>
          <w:szCs w:val="22"/>
        </w:rPr>
        <w:t xml:space="preserve"> postawy głównego akcjonariusza</w:t>
      </w:r>
      <w:r w:rsidR="00AD57CC" w:rsidRPr="0057309D">
        <w:rPr>
          <w:sz w:val="22"/>
          <w:szCs w:val="22"/>
        </w:rPr>
        <w:t xml:space="preserve"> i zarządu Spółki,</w:t>
      </w:r>
      <w:r w:rsidRPr="0057309D">
        <w:rPr>
          <w:sz w:val="22"/>
          <w:szCs w:val="22"/>
        </w:rPr>
        <w:t xml:space="preserve"> a</w:t>
      </w:r>
      <w:r w:rsidR="00A477D0" w:rsidRPr="0057309D">
        <w:rPr>
          <w:sz w:val="22"/>
          <w:szCs w:val="22"/>
        </w:rPr>
        <w:t>kcjonariusze Porozumienia</w:t>
      </w:r>
      <w:r w:rsidR="002120D4" w:rsidRPr="0057309D">
        <w:rPr>
          <w:sz w:val="22"/>
          <w:szCs w:val="22"/>
        </w:rPr>
        <w:t xml:space="preserve"> podejmują aktualnie szereg </w:t>
      </w:r>
      <w:r w:rsidR="00A477D0" w:rsidRPr="0057309D">
        <w:rPr>
          <w:sz w:val="22"/>
          <w:szCs w:val="22"/>
        </w:rPr>
        <w:t xml:space="preserve"> </w:t>
      </w:r>
      <w:r w:rsidR="00C1105D" w:rsidRPr="0057309D">
        <w:rPr>
          <w:sz w:val="22"/>
          <w:szCs w:val="22"/>
        </w:rPr>
        <w:t xml:space="preserve">działań w ramach dostępnych </w:t>
      </w:r>
      <w:r w:rsidR="002120D4" w:rsidRPr="0057309D">
        <w:rPr>
          <w:sz w:val="22"/>
          <w:szCs w:val="22"/>
        </w:rPr>
        <w:t xml:space="preserve">dla nich </w:t>
      </w:r>
      <w:r w:rsidR="00C1105D" w:rsidRPr="0057309D">
        <w:rPr>
          <w:sz w:val="22"/>
          <w:szCs w:val="22"/>
        </w:rPr>
        <w:t>instrumentów</w:t>
      </w:r>
      <w:r w:rsidRPr="0057309D">
        <w:rPr>
          <w:sz w:val="22"/>
          <w:szCs w:val="22"/>
        </w:rPr>
        <w:t xml:space="preserve"> prawnych. Niemniej zakres istniejących i efektywnych środków ochrony prawnej obecnie pozostaje </w:t>
      </w:r>
      <w:r w:rsidR="00AD57CC" w:rsidRPr="0057309D">
        <w:rPr>
          <w:sz w:val="22"/>
          <w:szCs w:val="22"/>
        </w:rPr>
        <w:t xml:space="preserve">niestety </w:t>
      </w:r>
      <w:r w:rsidRPr="0057309D">
        <w:rPr>
          <w:sz w:val="22"/>
          <w:szCs w:val="22"/>
        </w:rPr>
        <w:t xml:space="preserve">mocno ograniczony i często niewystarczający dla realizacji podstawowych </w:t>
      </w:r>
      <w:r w:rsidR="00AD57CC" w:rsidRPr="0057309D">
        <w:rPr>
          <w:sz w:val="22"/>
          <w:szCs w:val="22"/>
        </w:rPr>
        <w:t>założeń</w:t>
      </w:r>
      <w:r w:rsidR="00463464">
        <w:rPr>
          <w:sz w:val="22"/>
          <w:szCs w:val="22"/>
        </w:rPr>
        <w:t xml:space="preserve"> </w:t>
      </w:r>
      <w:r w:rsidR="00640254">
        <w:rPr>
          <w:sz w:val="22"/>
          <w:szCs w:val="22"/>
        </w:rPr>
        <w:t xml:space="preserve">Porozumienia </w:t>
      </w:r>
      <w:r w:rsidR="00463464">
        <w:rPr>
          <w:sz w:val="22"/>
          <w:szCs w:val="22"/>
        </w:rPr>
        <w:t>oraz ochrony słusznych interesów akcjonariuszy mniejszościowych</w:t>
      </w:r>
      <w:r w:rsidR="00640254">
        <w:rPr>
          <w:sz w:val="22"/>
          <w:szCs w:val="22"/>
        </w:rPr>
        <w:t xml:space="preserve"> i obrony majątku Spółki przed niekorzystnymi dla Spółki transakcjami</w:t>
      </w:r>
      <w:r w:rsidR="00463464">
        <w:rPr>
          <w:sz w:val="22"/>
          <w:szCs w:val="22"/>
        </w:rPr>
        <w:t>.</w:t>
      </w:r>
      <w:r w:rsidRPr="0057309D">
        <w:rPr>
          <w:sz w:val="22"/>
          <w:szCs w:val="22"/>
        </w:rPr>
        <w:t xml:space="preserve"> </w:t>
      </w:r>
    </w:p>
    <w:p w14:paraId="55457F5E" w14:textId="77777777" w:rsidR="00D93010" w:rsidRPr="0057309D" w:rsidRDefault="00D93010" w:rsidP="002D5DC0">
      <w:pPr>
        <w:spacing w:line="276" w:lineRule="auto"/>
        <w:jc w:val="both"/>
        <w:rPr>
          <w:sz w:val="22"/>
          <w:szCs w:val="22"/>
        </w:rPr>
      </w:pPr>
    </w:p>
    <w:p w14:paraId="66340B31" w14:textId="77777777" w:rsidR="00D93010" w:rsidRPr="0057309D" w:rsidRDefault="000569C9" w:rsidP="002D5DC0">
      <w:pPr>
        <w:spacing w:line="276" w:lineRule="auto"/>
        <w:jc w:val="both"/>
        <w:rPr>
          <w:sz w:val="22"/>
          <w:szCs w:val="22"/>
        </w:rPr>
      </w:pPr>
      <w:r w:rsidRPr="0057309D">
        <w:rPr>
          <w:b/>
          <w:bCs/>
          <w:sz w:val="22"/>
          <w:szCs w:val="22"/>
        </w:rPr>
        <w:t>5</w:t>
      </w:r>
      <w:r w:rsidR="005115EF" w:rsidRPr="0057309D">
        <w:rPr>
          <w:b/>
          <w:bCs/>
          <w:sz w:val="22"/>
          <w:szCs w:val="22"/>
        </w:rPr>
        <w:t xml:space="preserve">. </w:t>
      </w:r>
      <w:r w:rsidR="005115EF" w:rsidRPr="0057309D">
        <w:rPr>
          <w:sz w:val="22"/>
          <w:szCs w:val="22"/>
        </w:rPr>
        <w:t xml:space="preserve">Mając na uwadze wyżej </w:t>
      </w:r>
      <w:r w:rsidR="002F34AE" w:rsidRPr="0057309D">
        <w:rPr>
          <w:sz w:val="22"/>
          <w:szCs w:val="22"/>
        </w:rPr>
        <w:t>opisaną</w:t>
      </w:r>
      <w:r w:rsidR="005115EF" w:rsidRPr="0057309D">
        <w:rPr>
          <w:sz w:val="22"/>
          <w:szCs w:val="22"/>
        </w:rPr>
        <w:t xml:space="preserve"> sytuację </w:t>
      </w:r>
      <w:r w:rsidR="009A3377" w:rsidRPr="0057309D">
        <w:rPr>
          <w:sz w:val="22"/>
          <w:szCs w:val="22"/>
        </w:rPr>
        <w:t>p</w:t>
      </w:r>
      <w:r w:rsidR="00D93010" w:rsidRPr="0057309D">
        <w:rPr>
          <w:sz w:val="22"/>
          <w:szCs w:val="22"/>
        </w:rPr>
        <w:t xml:space="preserve">odkreślić należy, iż obowiązujące regulacje prawne nie zapewniają akcjonariuszom mniejszościowym Spółki efektywnych </w:t>
      </w:r>
      <w:r w:rsidR="00BB5B25" w:rsidRPr="0057309D">
        <w:rPr>
          <w:sz w:val="22"/>
          <w:szCs w:val="22"/>
        </w:rPr>
        <w:t>rozwiązań</w:t>
      </w:r>
      <w:r w:rsidR="00D93010" w:rsidRPr="0057309D">
        <w:rPr>
          <w:sz w:val="22"/>
          <w:szCs w:val="22"/>
        </w:rPr>
        <w:t xml:space="preserve"> pozwalających </w:t>
      </w:r>
      <w:r w:rsidR="00110153" w:rsidRPr="0057309D">
        <w:rPr>
          <w:sz w:val="22"/>
          <w:szCs w:val="22"/>
        </w:rPr>
        <w:t xml:space="preserve">wyjść </w:t>
      </w:r>
      <w:r w:rsidR="00494C76" w:rsidRPr="0057309D">
        <w:rPr>
          <w:sz w:val="22"/>
          <w:szCs w:val="22"/>
        </w:rPr>
        <w:t>z tej trudnej dla nich sytuacji</w:t>
      </w:r>
      <w:r w:rsidR="0034408A" w:rsidRPr="0057309D">
        <w:rPr>
          <w:sz w:val="22"/>
          <w:szCs w:val="22"/>
        </w:rPr>
        <w:t>. W szczególności niemożliwe</w:t>
      </w:r>
      <w:r w:rsidR="00FA38B0" w:rsidRPr="0057309D">
        <w:rPr>
          <w:sz w:val="22"/>
          <w:szCs w:val="22"/>
        </w:rPr>
        <w:t>, wobec braku dostępnych instrumentów prawnych,</w:t>
      </w:r>
      <w:r w:rsidR="0034408A" w:rsidRPr="0057309D">
        <w:rPr>
          <w:sz w:val="22"/>
          <w:szCs w:val="22"/>
        </w:rPr>
        <w:t xml:space="preserve"> pozostaje</w:t>
      </w:r>
      <w:r w:rsidR="008366AF" w:rsidRPr="0057309D">
        <w:rPr>
          <w:sz w:val="22"/>
          <w:szCs w:val="22"/>
        </w:rPr>
        <w:t xml:space="preserve"> wyegzekwowanie zobowiązania zarządu GPW S.A. </w:t>
      </w:r>
      <w:r w:rsidR="00532B2C" w:rsidRPr="0057309D">
        <w:rPr>
          <w:sz w:val="22"/>
          <w:szCs w:val="22"/>
        </w:rPr>
        <w:t xml:space="preserve">do </w:t>
      </w:r>
      <w:r w:rsidR="008366AF" w:rsidRPr="0057309D">
        <w:rPr>
          <w:sz w:val="22"/>
          <w:szCs w:val="22"/>
        </w:rPr>
        <w:t>powrotu Spółki na Giełdę</w:t>
      </w:r>
      <w:r w:rsidR="009843C4" w:rsidRPr="0057309D">
        <w:rPr>
          <w:sz w:val="22"/>
          <w:szCs w:val="22"/>
        </w:rPr>
        <w:t>. Akcjonariusze mniejszościowi Spółki</w:t>
      </w:r>
      <w:r w:rsidR="005A70B5" w:rsidRPr="0057309D">
        <w:rPr>
          <w:sz w:val="22"/>
          <w:szCs w:val="22"/>
        </w:rPr>
        <w:t xml:space="preserve"> </w:t>
      </w:r>
      <w:r w:rsidR="009843C4" w:rsidRPr="0057309D">
        <w:rPr>
          <w:sz w:val="22"/>
          <w:szCs w:val="22"/>
        </w:rPr>
        <w:t>nie mogą także skorzystać z instytucji żądania wykupu akcji przewidzianej</w:t>
      </w:r>
      <w:r w:rsidR="00BB5B25" w:rsidRPr="0057309D">
        <w:rPr>
          <w:sz w:val="22"/>
          <w:szCs w:val="22"/>
        </w:rPr>
        <w:t xml:space="preserve"> </w:t>
      </w:r>
      <w:r w:rsidR="00FA38B0" w:rsidRPr="0057309D">
        <w:rPr>
          <w:sz w:val="22"/>
          <w:szCs w:val="22"/>
        </w:rPr>
        <w:t>art. 83 ustawy o ofercie publicznej,</w:t>
      </w:r>
      <w:r w:rsidR="006515C5" w:rsidRPr="0057309D">
        <w:rPr>
          <w:sz w:val="22"/>
          <w:szCs w:val="22"/>
        </w:rPr>
        <w:t xml:space="preserve"> bowiem spółki zależne od głównego akcjonariusza skupiają mniej niż 95% ogólnej liczny głosów</w:t>
      </w:r>
      <w:r w:rsidR="00D3106E" w:rsidRPr="0057309D">
        <w:rPr>
          <w:sz w:val="22"/>
          <w:szCs w:val="22"/>
        </w:rPr>
        <w:t xml:space="preserve"> w Spółce</w:t>
      </w:r>
      <w:r w:rsidR="006515C5" w:rsidRPr="0057309D">
        <w:rPr>
          <w:sz w:val="22"/>
          <w:szCs w:val="22"/>
        </w:rPr>
        <w:t>.</w:t>
      </w:r>
      <w:r w:rsidR="00322464" w:rsidRPr="0057309D">
        <w:rPr>
          <w:sz w:val="22"/>
          <w:szCs w:val="22"/>
        </w:rPr>
        <w:t xml:space="preserve"> Wobec zawitego terminu 3 miesięcy liczonego od dnia wykluczenia </w:t>
      </w:r>
      <w:r w:rsidR="002B1248" w:rsidRPr="0057309D">
        <w:rPr>
          <w:sz w:val="22"/>
          <w:szCs w:val="22"/>
        </w:rPr>
        <w:t>akcji z obrotu na rynku regulowanym i wobec jednoczesnego braku stosownych prze</w:t>
      </w:r>
      <w:r w:rsidR="004A6490" w:rsidRPr="0057309D">
        <w:rPr>
          <w:sz w:val="22"/>
          <w:szCs w:val="22"/>
        </w:rPr>
        <w:t>pisów intertemporalnych – akcjonariusze mniejszościowi Spółki nie mogą również skorzystać</w:t>
      </w:r>
      <w:r w:rsidR="000465D7" w:rsidRPr="0057309D">
        <w:rPr>
          <w:sz w:val="22"/>
          <w:szCs w:val="22"/>
        </w:rPr>
        <w:t xml:space="preserve"> z instytucji odkupu akcji w sytuacji wykluczenia akcji z obrotu regulowanym przewidzianej przepisem art. 83a ustawy o ofercie publicznej. </w:t>
      </w:r>
      <w:r w:rsidR="008B19D6" w:rsidRPr="0057309D">
        <w:rPr>
          <w:sz w:val="22"/>
          <w:szCs w:val="22"/>
        </w:rPr>
        <w:t>W istocie żadna obowiązująca aktualnie regulacja</w:t>
      </w:r>
      <w:r w:rsidR="00204CF4" w:rsidRPr="0057309D">
        <w:rPr>
          <w:sz w:val="22"/>
          <w:szCs w:val="22"/>
        </w:rPr>
        <w:t xml:space="preserve"> prawna</w:t>
      </w:r>
      <w:r w:rsidR="008B19D6" w:rsidRPr="0057309D">
        <w:rPr>
          <w:sz w:val="22"/>
          <w:szCs w:val="22"/>
        </w:rPr>
        <w:t xml:space="preserve"> nie daje akcjonariuszom mniejszościowym Spółki</w:t>
      </w:r>
      <w:r w:rsidR="00204CF4" w:rsidRPr="0057309D">
        <w:rPr>
          <w:sz w:val="22"/>
          <w:szCs w:val="22"/>
        </w:rPr>
        <w:t xml:space="preserve"> rozwiązania ich </w:t>
      </w:r>
      <w:r w:rsidR="008564AD">
        <w:rPr>
          <w:sz w:val="22"/>
          <w:szCs w:val="22"/>
        </w:rPr>
        <w:t xml:space="preserve">trudnej </w:t>
      </w:r>
      <w:r w:rsidR="00204CF4" w:rsidRPr="0057309D">
        <w:rPr>
          <w:sz w:val="22"/>
          <w:szCs w:val="22"/>
        </w:rPr>
        <w:t>sytuacji i wyjścia z inwestycji w akcje Spółki na godziwych warunkach.</w:t>
      </w:r>
    </w:p>
    <w:p w14:paraId="759E5307" w14:textId="77777777" w:rsidR="00F75BAE" w:rsidRPr="0057309D" w:rsidRDefault="00F75BAE" w:rsidP="002D5DC0">
      <w:pPr>
        <w:spacing w:line="276" w:lineRule="auto"/>
        <w:jc w:val="both"/>
        <w:rPr>
          <w:sz w:val="22"/>
          <w:szCs w:val="22"/>
        </w:rPr>
      </w:pPr>
    </w:p>
    <w:p w14:paraId="55E439E3" w14:textId="3431F770" w:rsidR="00F30B1F" w:rsidRPr="0057309D" w:rsidRDefault="004547C4" w:rsidP="002D5DC0">
      <w:pPr>
        <w:spacing w:line="276" w:lineRule="auto"/>
        <w:jc w:val="both"/>
        <w:rPr>
          <w:sz w:val="22"/>
          <w:szCs w:val="22"/>
        </w:rPr>
      </w:pPr>
      <w:r w:rsidRPr="0057309D">
        <w:rPr>
          <w:sz w:val="22"/>
          <w:szCs w:val="22"/>
        </w:rPr>
        <w:t xml:space="preserve">Powyższe okoliczności uzasadniają zatem wniosek, iż ostatnie niewątpliwie słuszne zmiany ustawy o ofercie publicznej, w tym w szczególności zmiany wprowadzone nowelizacją z dnia 16 października 2019 r., </w:t>
      </w:r>
      <w:r w:rsidR="00197C11" w:rsidRPr="0057309D">
        <w:rPr>
          <w:sz w:val="22"/>
          <w:szCs w:val="22"/>
        </w:rPr>
        <w:t xml:space="preserve">niestety w żadnym stopniu nie rozwiązały </w:t>
      </w:r>
      <w:r w:rsidR="00AC5B8B" w:rsidRPr="0057309D">
        <w:rPr>
          <w:sz w:val="22"/>
          <w:szCs w:val="22"/>
        </w:rPr>
        <w:t>problem</w:t>
      </w:r>
      <w:r w:rsidR="0032212B" w:rsidRPr="0057309D">
        <w:rPr>
          <w:sz w:val="22"/>
          <w:szCs w:val="22"/>
        </w:rPr>
        <w:t>ów</w:t>
      </w:r>
      <w:r w:rsidR="00197C11" w:rsidRPr="0057309D">
        <w:rPr>
          <w:sz w:val="22"/>
          <w:szCs w:val="22"/>
        </w:rPr>
        <w:t xml:space="preserve"> akcjonariuszy mniejszościowych Elektrim S.A., jak </w:t>
      </w:r>
      <w:r w:rsidR="00E464D2" w:rsidRPr="0057309D">
        <w:rPr>
          <w:sz w:val="22"/>
          <w:szCs w:val="22"/>
        </w:rPr>
        <w:t xml:space="preserve">i </w:t>
      </w:r>
      <w:r w:rsidR="00197C11" w:rsidRPr="0057309D">
        <w:rPr>
          <w:sz w:val="22"/>
          <w:szCs w:val="22"/>
        </w:rPr>
        <w:t xml:space="preserve">akcjonariuszy </w:t>
      </w:r>
      <w:r w:rsidR="006F7E21" w:rsidRPr="0057309D">
        <w:rPr>
          <w:sz w:val="22"/>
          <w:szCs w:val="22"/>
        </w:rPr>
        <w:t xml:space="preserve">pozostałych </w:t>
      </w:r>
      <w:r w:rsidR="00197C11" w:rsidRPr="0057309D">
        <w:rPr>
          <w:sz w:val="22"/>
          <w:szCs w:val="22"/>
        </w:rPr>
        <w:t xml:space="preserve">byłych spółek giełdowych, które </w:t>
      </w:r>
      <w:r w:rsidR="00F30B1F" w:rsidRPr="0057309D">
        <w:rPr>
          <w:sz w:val="22"/>
          <w:szCs w:val="22"/>
        </w:rPr>
        <w:t>zostały wykluczone z obrotu na rynku regulowanym przed wejściem w życie nowelizacji.</w:t>
      </w:r>
      <w:r w:rsidR="0045492A" w:rsidRPr="0057309D">
        <w:rPr>
          <w:sz w:val="22"/>
          <w:szCs w:val="22"/>
        </w:rPr>
        <w:t xml:space="preserve"> Ustawodawca nie przewidział bowiem regulacji, które umożliwiałyby takim akcjonariuszom wyjście z</w:t>
      </w:r>
      <w:r w:rsidR="00A34A48" w:rsidRPr="0057309D">
        <w:rPr>
          <w:sz w:val="22"/>
          <w:szCs w:val="22"/>
        </w:rPr>
        <w:t xml:space="preserve">e spółki w sytuacji bardzo ograniczonej możliwości obrotu akcjami oraz </w:t>
      </w:r>
      <w:r w:rsidR="00042836" w:rsidRPr="0057309D">
        <w:rPr>
          <w:sz w:val="22"/>
          <w:szCs w:val="22"/>
        </w:rPr>
        <w:t>marginalizacji ich pozycji w spółce wskutek rozproszenia akcjonariatu mniejszościowego</w:t>
      </w:r>
      <w:r w:rsidR="00E549E2" w:rsidRPr="0057309D">
        <w:rPr>
          <w:sz w:val="22"/>
          <w:szCs w:val="22"/>
        </w:rPr>
        <w:t xml:space="preserve">, a także wskutek </w:t>
      </w:r>
      <w:r w:rsidR="00042836" w:rsidRPr="0057309D">
        <w:rPr>
          <w:sz w:val="22"/>
          <w:szCs w:val="22"/>
        </w:rPr>
        <w:t xml:space="preserve">niewielkiego ich udziału w </w:t>
      </w:r>
      <w:r w:rsidR="007A04FD" w:rsidRPr="0057309D">
        <w:rPr>
          <w:sz w:val="22"/>
          <w:szCs w:val="22"/>
        </w:rPr>
        <w:t xml:space="preserve">ogólnej liczbie </w:t>
      </w:r>
      <w:r w:rsidR="00042836" w:rsidRPr="0057309D">
        <w:rPr>
          <w:sz w:val="22"/>
          <w:szCs w:val="22"/>
        </w:rPr>
        <w:t>głosów</w:t>
      </w:r>
      <w:r w:rsidR="008C599B" w:rsidRPr="0057309D">
        <w:rPr>
          <w:sz w:val="22"/>
          <w:szCs w:val="22"/>
        </w:rPr>
        <w:t xml:space="preserve"> w spółce.</w:t>
      </w:r>
      <w:r w:rsidR="00FF39DC" w:rsidRPr="0057309D">
        <w:rPr>
          <w:sz w:val="22"/>
          <w:szCs w:val="22"/>
        </w:rPr>
        <w:t xml:space="preserve"> </w:t>
      </w:r>
      <w:r w:rsidR="00586010" w:rsidRPr="0057309D">
        <w:rPr>
          <w:sz w:val="22"/>
          <w:szCs w:val="22"/>
        </w:rPr>
        <w:t xml:space="preserve">Tym samym </w:t>
      </w:r>
      <w:r w:rsidR="00FF39DC" w:rsidRPr="0057309D">
        <w:rPr>
          <w:sz w:val="22"/>
          <w:szCs w:val="22"/>
        </w:rPr>
        <w:t>akcjonariusze mniejszościowi</w:t>
      </w:r>
      <w:r w:rsidR="009D5305" w:rsidRPr="0057309D">
        <w:rPr>
          <w:sz w:val="22"/>
          <w:szCs w:val="22"/>
        </w:rPr>
        <w:t xml:space="preserve"> </w:t>
      </w:r>
      <w:r w:rsidR="001965EE" w:rsidRPr="0057309D">
        <w:rPr>
          <w:sz w:val="22"/>
          <w:szCs w:val="22"/>
        </w:rPr>
        <w:t>spółek wykluczonych</w:t>
      </w:r>
      <w:r w:rsidR="00586010" w:rsidRPr="0057309D">
        <w:rPr>
          <w:sz w:val="22"/>
          <w:szCs w:val="22"/>
        </w:rPr>
        <w:t xml:space="preserve"> z notowań na rynku regulowany</w:t>
      </w:r>
      <w:r w:rsidR="005E5CE0" w:rsidRPr="0057309D">
        <w:rPr>
          <w:sz w:val="22"/>
          <w:szCs w:val="22"/>
        </w:rPr>
        <w:t>m</w:t>
      </w:r>
      <w:r w:rsidR="00586010" w:rsidRPr="0057309D">
        <w:rPr>
          <w:sz w:val="22"/>
          <w:szCs w:val="22"/>
        </w:rPr>
        <w:t xml:space="preserve"> przed wejściem </w:t>
      </w:r>
      <w:r w:rsidR="00A36B56" w:rsidRPr="0057309D">
        <w:rPr>
          <w:sz w:val="22"/>
          <w:szCs w:val="22"/>
        </w:rPr>
        <w:t xml:space="preserve">w życie </w:t>
      </w:r>
      <w:r w:rsidR="00DA6040" w:rsidRPr="0057309D">
        <w:rPr>
          <w:sz w:val="22"/>
          <w:szCs w:val="22"/>
        </w:rPr>
        <w:t xml:space="preserve">nowelizacji ustawy </w:t>
      </w:r>
      <w:r w:rsidR="005E5CE0" w:rsidRPr="0057309D">
        <w:rPr>
          <w:sz w:val="22"/>
          <w:szCs w:val="22"/>
        </w:rPr>
        <w:t>o ofercie publicznej</w:t>
      </w:r>
      <w:r w:rsidR="00B45E23" w:rsidRPr="0057309D">
        <w:rPr>
          <w:sz w:val="22"/>
          <w:szCs w:val="22"/>
        </w:rPr>
        <w:t xml:space="preserve"> -</w:t>
      </w:r>
      <w:r w:rsidR="00A36B56" w:rsidRPr="0057309D">
        <w:rPr>
          <w:sz w:val="22"/>
          <w:szCs w:val="22"/>
        </w:rPr>
        <w:t xml:space="preserve"> </w:t>
      </w:r>
      <w:r w:rsidR="00F33B64" w:rsidRPr="0057309D">
        <w:rPr>
          <w:sz w:val="22"/>
          <w:szCs w:val="22"/>
        </w:rPr>
        <w:t>nie</w:t>
      </w:r>
      <w:r w:rsidR="00C508A9" w:rsidRPr="0057309D">
        <w:rPr>
          <w:sz w:val="22"/>
          <w:szCs w:val="22"/>
        </w:rPr>
        <w:t xml:space="preserve"> mogą obecnie skorzystać</w:t>
      </w:r>
      <w:r w:rsidR="000E73BE" w:rsidRPr="0057309D">
        <w:rPr>
          <w:sz w:val="22"/>
          <w:szCs w:val="22"/>
        </w:rPr>
        <w:t xml:space="preserve"> z ochrony wynikającej</w:t>
      </w:r>
      <w:r w:rsidR="00C508A9" w:rsidRPr="0057309D">
        <w:rPr>
          <w:sz w:val="22"/>
          <w:szCs w:val="22"/>
        </w:rPr>
        <w:t xml:space="preserve"> z rozwiązań legislacyjnych przewidzianych aktualnie obowiązującymi przepisami prawa</w:t>
      </w:r>
      <w:r w:rsidR="00B45E23" w:rsidRPr="0057309D">
        <w:rPr>
          <w:sz w:val="22"/>
          <w:szCs w:val="22"/>
        </w:rPr>
        <w:t xml:space="preserve">, w tym w szczególności </w:t>
      </w:r>
      <w:r w:rsidR="00B45E23" w:rsidRPr="00521692">
        <w:rPr>
          <w:b/>
          <w:sz w:val="22"/>
          <w:szCs w:val="22"/>
        </w:rPr>
        <w:t>nie są uprawnieni do żądania wykupu ich akcji po godziwej cenie</w:t>
      </w:r>
      <w:r w:rsidR="00B45E23" w:rsidRPr="0057309D">
        <w:rPr>
          <w:sz w:val="22"/>
          <w:szCs w:val="22"/>
        </w:rPr>
        <w:t>.</w:t>
      </w:r>
    </w:p>
    <w:p w14:paraId="2F8DAD88" w14:textId="77777777" w:rsidR="00496EDA" w:rsidRPr="0057309D" w:rsidRDefault="00DE7FEE" w:rsidP="002D5DC0">
      <w:pPr>
        <w:pStyle w:val="NormalnyWeb"/>
        <w:spacing w:line="276" w:lineRule="auto"/>
        <w:jc w:val="both"/>
        <w:rPr>
          <w:sz w:val="22"/>
          <w:szCs w:val="22"/>
        </w:rPr>
      </w:pPr>
      <w:r w:rsidRPr="0057309D">
        <w:rPr>
          <w:sz w:val="22"/>
          <w:szCs w:val="22"/>
        </w:rPr>
        <w:t xml:space="preserve">Mając na </w:t>
      </w:r>
      <w:r w:rsidR="00F90B9D" w:rsidRPr="0057309D">
        <w:rPr>
          <w:sz w:val="22"/>
          <w:szCs w:val="22"/>
        </w:rPr>
        <w:t xml:space="preserve">uwadze powyższe okoliczności </w:t>
      </w:r>
      <w:r w:rsidR="000A7F37" w:rsidRPr="0057309D">
        <w:rPr>
          <w:sz w:val="22"/>
          <w:szCs w:val="22"/>
        </w:rPr>
        <w:t xml:space="preserve">oraz nawiązując do </w:t>
      </w:r>
      <w:r w:rsidR="00496EDA" w:rsidRPr="0057309D">
        <w:rPr>
          <w:sz w:val="22"/>
          <w:szCs w:val="22"/>
        </w:rPr>
        <w:t xml:space="preserve">prowadzonych aktualnie </w:t>
      </w:r>
      <w:r w:rsidR="000A7F37" w:rsidRPr="0057309D">
        <w:rPr>
          <w:sz w:val="22"/>
          <w:szCs w:val="22"/>
        </w:rPr>
        <w:t>prac legislacyjnych nad nowelizacją ustawy ofercie</w:t>
      </w:r>
      <w:r w:rsidR="00496EDA" w:rsidRPr="0057309D">
        <w:rPr>
          <w:sz w:val="22"/>
          <w:szCs w:val="22"/>
        </w:rPr>
        <w:t xml:space="preserve"> publicznej, której jednym z celów pozostaje wzmocnienie </w:t>
      </w:r>
      <w:r w:rsidR="000A7F37" w:rsidRPr="0057309D">
        <w:rPr>
          <w:sz w:val="22"/>
          <w:szCs w:val="22"/>
        </w:rPr>
        <w:t>ochrony akcjonariuszy mniejszościowych – zwracam się z p</w:t>
      </w:r>
      <w:r w:rsidR="00D566F8" w:rsidRPr="0057309D">
        <w:rPr>
          <w:sz w:val="22"/>
          <w:szCs w:val="22"/>
        </w:rPr>
        <w:t>rośbą o wprowadzenie do projektu ustawy odpowiednich instrumentów</w:t>
      </w:r>
      <w:r w:rsidR="00496EDA" w:rsidRPr="0057309D">
        <w:rPr>
          <w:sz w:val="22"/>
          <w:szCs w:val="22"/>
        </w:rPr>
        <w:t xml:space="preserve"> prawnych</w:t>
      </w:r>
      <w:r w:rsidR="00D566F8" w:rsidRPr="0057309D">
        <w:rPr>
          <w:sz w:val="22"/>
          <w:szCs w:val="22"/>
        </w:rPr>
        <w:t>, które umożliwiłyby akcjonariuszom mniejszościowych byłych spółek giełdowyc</w:t>
      </w:r>
      <w:r w:rsidR="001F2850" w:rsidRPr="0057309D">
        <w:rPr>
          <w:sz w:val="22"/>
          <w:szCs w:val="22"/>
        </w:rPr>
        <w:t>h</w:t>
      </w:r>
      <w:r w:rsidR="00F2749B" w:rsidRPr="0057309D">
        <w:rPr>
          <w:sz w:val="22"/>
          <w:szCs w:val="22"/>
        </w:rPr>
        <w:t xml:space="preserve"> możliwość</w:t>
      </w:r>
      <w:r w:rsidR="001F2850" w:rsidRPr="0057309D">
        <w:rPr>
          <w:sz w:val="22"/>
          <w:szCs w:val="22"/>
        </w:rPr>
        <w:t xml:space="preserve"> skorzystani</w:t>
      </w:r>
      <w:r w:rsidR="00F2749B" w:rsidRPr="0057309D">
        <w:rPr>
          <w:sz w:val="22"/>
          <w:szCs w:val="22"/>
        </w:rPr>
        <w:t>a</w:t>
      </w:r>
      <w:r w:rsidR="001F2850" w:rsidRPr="0057309D">
        <w:rPr>
          <w:sz w:val="22"/>
          <w:szCs w:val="22"/>
        </w:rPr>
        <w:t xml:space="preserve"> z instytucji wykupu akcji w zakresie </w:t>
      </w:r>
      <w:r w:rsidR="00D03167" w:rsidRPr="0057309D">
        <w:rPr>
          <w:sz w:val="22"/>
          <w:szCs w:val="22"/>
        </w:rPr>
        <w:t>podobnym jak w aktualn</w:t>
      </w:r>
      <w:r w:rsidR="00F14DE4" w:rsidRPr="0057309D">
        <w:rPr>
          <w:sz w:val="22"/>
          <w:szCs w:val="22"/>
        </w:rPr>
        <w:t>ie obowiązujących</w:t>
      </w:r>
      <w:r w:rsidR="00D03167" w:rsidRPr="0057309D">
        <w:rPr>
          <w:sz w:val="22"/>
          <w:szCs w:val="22"/>
        </w:rPr>
        <w:t xml:space="preserve"> regulacjach art. 83 i 83a ustawy o ofercie publ</w:t>
      </w:r>
      <w:r w:rsidR="00496EDA" w:rsidRPr="0057309D">
        <w:rPr>
          <w:sz w:val="22"/>
          <w:szCs w:val="22"/>
        </w:rPr>
        <w:t>icznej</w:t>
      </w:r>
      <w:r w:rsidR="00B0525E" w:rsidRPr="0057309D">
        <w:rPr>
          <w:sz w:val="22"/>
          <w:szCs w:val="22"/>
        </w:rPr>
        <w:t>.</w:t>
      </w:r>
    </w:p>
    <w:p w14:paraId="6946FBBE" w14:textId="4DC43F21" w:rsidR="001B3635" w:rsidRPr="0057309D" w:rsidRDefault="00ED5A50" w:rsidP="002D5DC0">
      <w:pPr>
        <w:pStyle w:val="NormalnyWeb"/>
        <w:spacing w:line="276" w:lineRule="auto"/>
        <w:jc w:val="both"/>
        <w:rPr>
          <w:sz w:val="22"/>
          <w:szCs w:val="22"/>
        </w:rPr>
      </w:pPr>
      <w:r w:rsidRPr="0057309D">
        <w:rPr>
          <w:sz w:val="22"/>
          <w:szCs w:val="22"/>
        </w:rPr>
        <w:t>W ocenie Porozumieni</w:t>
      </w:r>
      <w:r w:rsidR="00EC35E0" w:rsidRPr="0057309D">
        <w:rPr>
          <w:sz w:val="22"/>
          <w:szCs w:val="22"/>
        </w:rPr>
        <w:t>a</w:t>
      </w:r>
      <w:r w:rsidRPr="0057309D">
        <w:rPr>
          <w:sz w:val="22"/>
          <w:szCs w:val="22"/>
        </w:rPr>
        <w:t xml:space="preserve"> odpowiednim rozwiązaniem</w:t>
      </w:r>
      <w:r w:rsidR="00B5193D" w:rsidRPr="0057309D">
        <w:rPr>
          <w:sz w:val="22"/>
          <w:szCs w:val="22"/>
        </w:rPr>
        <w:t xml:space="preserve"> byłoby wprowadzenie regulacji, która uzależniałaby możliwość żądania wyk</w:t>
      </w:r>
      <w:r w:rsidR="001B3635" w:rsidRPr="0057309D">
        <w:rPr>
          <w:sz w:val="22"/>
          <w:szCs w:val="22"/>
        </w:rPr>
        <w:t>upu</w:t>
      </w:r>
      <w:r w:rsidR="00263C9C" w:rsidRPr="0057309D">
        <w:rPr>
          <w:sz w:val="22"/>
          <w:szCs w:val="22"/>
        </w:rPr>
        <w:t xml:space="preserve"> akcji spółki</w:t>
      </w:r>
      <w:r w:rsidR="001B3635" w:rsidRPr="0057309D">
        <w:rPr>
          <w:sz w:val="22"/>
          <w:szCs w:val="22"/>
        </w:rPr>
        <w:t xml:space="preserve"> przez akcjonariusza mniejszościowego od</w:t>
      </w:r>
      <w:r w:rsidR="00FD0474" w:rsidRPr="0057309D">
        <w:rPr>
          <w:sz w:val="22"/>
          <w:szCs w:val="22"/>
        </w:rPr>
        <w:t xml:space="preserve"> </w:t>
      </w:r>
      <w:r w:rsidR="001B3635" w:rsidRPr="0057309D">
        <w:rPr>
          <w:sz w:val="22"/>
          <w:szCs w:val="22"/>
        </w:rPr>
        <w:t>spełnienia następujących warunków:</w:t>
      </w:r>
    </w:p>
    <w:p w14:paraId="633490D9" w14:textId="77777777" w:rsidR="00B00D37" w:rsidRPr="0057309D" w:rsidRDefault="00B70EB8" w:rsidP="002D5DC0">
      <w:pPr>
        <w:pStyle w:val="NormalnyWeb"/>
        <w:spacing w:line="276" w:lineRule="auto"/>
        <w:jc w:val="both"/>
        <w:rPr>
          <w:sz w:val="22"/>
          <w:szCs w:val="22"/>
        </w:rPr>
      </w:pPr>
      <w:r w:rsidRPr="0057309D">
        <w:rPr>
          <w:sz w:val="22"/>
          <w:szCs w:val="22"/>
        </w:rPr>
        <w:t>1</w:t>
      </w:r>
      <w:r w:rsidR="00B00D37" w:rsidRPr="0057309D">
        <w:rPr>
          <w:sz w:val="22"/>
          <w:szCs w:val="22"/>
        </w:rPr>
        <w:t xml:space="preserve">) </w:t>
      </w:r>
      <w:r w:rsidR="004179F9" w:rsidRPr="0057309D">
        <w:rPr>
          <w:sz w:val="22"/>
          <w:szCs w:val="22"/>
        </w:rPr>
        <w:t xml:space="preserve">posiadanie </w:t>
      </w:r>
      <w:r w:rsidR="00B00D37" w:rsidRPr="0057309D">
        <w:rPr>
          <w:sz w:val="22"/>
          <w:szCs w:val="22"/>
        </w:rPr>
        <w:t>status</w:t>
      </w:r>
      <w:r w:rsidR="004179F9" w:rsidRPr="0057309D">
        <w:rPr>
          <w:sz w:val="22"/>
          <w:szCs w:val="22"/>
        </w:rPr>
        <w:t>u</w:t>
      </w:r>
      <w:r w:rsidR="00B00D37" w:rsidRPr="0057309D">
        <w:rPr>
          <w:sz w:val="22"/>
          <w:szCs w:val="22"/>
        </w:rPr>
        <w:t xml:space="preserve"> spółki</w:t>
      </w:r>
      <w:r w:rsidRPr="0057309D">
        <w:rPr>
          <w:sz w:val="22"/>
          <w:szCs w:val="22"/>
        </w:rPr>
        <w:t>, której akcje zostały wykluczone z obrotu na rynku regulowanym</w:t>
      </w:r>
      <w:r w:rsidR="00B00D37" w:rsidRPr="0057309D">
        <w:rPr>
          <w:sz w:val="22"/>
          <w:szCs w:val="22"/>
        </w:rPr>
        <w:t>,</w:t>
      </w:r>
      <w:r w:rsidRPr="0057309D">
        <w:rPr>
          <w:sz w:val="22"/>
          <w:szCs w:val="22"/>
        </w:rPr>
        <w:t xml:space="preserve"> a</w:t>
      </w:r>
      <w:r w:rsidR="00B00D37" w:rsidRPr="0057309D">
        <w:rPr>
          <w:sz w:val="22"/>
          <w:szCs w:val="22"/>
        </w:rPr>
        <w:t xml:space="preserve"> o której mowa w art. 27 ust. 1 ustawy o zmianie ustawy o ofercie publicznej i warunkach wprowadzania instrumentów finansowych do zorganizowanego systemu obrotu oraz o spółkach publicznych oraz niektórych innych ustaw z dnia 16 października 2019 r. (Dz.U. z 2019 r. poz. 2217)</w:t>
      </w:r>
      <w:r w:rsidR="00250831" w:rsidRPr="0057309D">
        <w:rPr>
          <w:sz w:val="22"/>
          <w:szCs w:val="22"/>
        </w:rPr>
        <w:t>,</w:t>
      </w:r>
    </w:p>
    <w:p w14:paraId="72A5B317" w14:textId="70F92B81" w:rsidR="001B3635" w:rsidRPr="0057309D" w:rsidRDefault="001B3635" w:rsidP="002D5DC0">
      <w:pPr>
        <w:pStyle w:val="NormalnyWeb"/>
        <w:spacing w:line="276" w:lineRule="auto"/>
        <w:jc w:val="both"/>
        <w:rPr>
          <w:sz w:val="22"/>
          <w:szCs w:val="22"/>
        </w:rPr>
      </w:pPr>
      <w:r w:rsidRPr="0057309D">
        <w:rPr>
          <w:sz w:val="22"/>
          <w:szCs w:val="22"/>
        </w:rPr>
        <w:t>2)</w:t>
      </w:r>
      <w:r w:rsidR="00276C2D" w:rsidRPr="0057309D">
        <w:rPr>
          <w:sz w:val="22"/>
          <w:szCs w:val="22"/>
        </w:rPr>
        <w:t xml:space="preserve"> udział</w:t>
      </w:r>
      <w:r w:rsidR="00B70EB8" w:rsidRPr="0057309D">
        <w:rPr>
          <w:sz w:val="22"/>
          <w:szCs w:val="22"/>
        </w:rPr>
        <w:t xml:space="preserve"> </w:t>
      </w:r>
      <w:r w:rsidR="00276C2D" w:rsidRPr="0057309D">
        <w:rPr>
          <w:sz w:val="22"/>
          <w:szCs w:val="22"/>
        </w:rPr>
        <w:t>akcjonariusza dominującego</w:t>
      </w:r>
      <w:r w:rsidR="00547B0C" w:rsidRPr="0057309D">
        <w:rPr>
          <w:sz w:val="22"/>
          <w:szCs w:val="22"/>
        </w:rPr>
        <w:t xml:space="preserve"> </w:t>
      </w:r>
      <w:r w:rsidR="00617CA0" w:rsidRPr="0057309D">
        <w:rPr>
          <w:sz w:val="22"/>
          <w:szCs w:val="22"/>
        </w:rPr>
        <w:t xml:space="preserve">obowiązanego do wykupu akcji </w:t>
      </w:r>
      <w:r w:rsidR="00B70EB8" w:rsidRPr="0057309D">
        <w:rPr>
          <w:sz w:val="22"/>
          <w:szCs w:val="22"/>
        </w:rPr>
        <w:t xml:space="preserve">w ogóle głosów w spółce </w:t>
      </w:r>
      <w:r w:rsidR="00276C2D" w:rsidRPr="0057309D">
        <w:rPr>
          <w:sz w:val="22"/>
          <w:szCs w:val="22"/>
        </w:rPr>
        <w:t>przekraczający 6</w:t>
      </w:r>
      <w:r w:rsidR="00547B0C" w:rsidRPr="0057309D">
        <w:rPr>
          <w:sz w:val="22"/>
          <w:szCs w:val="22"/>
        </w:rPr>
        <w:t>6%</w:t>
      </w:r>
      <w:r w:rsidR="00617CA0" w:rsidRPr="0057309D">
        <w:rPr>
          <w:sz w:val="22"/>
          <w:szCs w:val="22"/>
        </w:rPr>
        <w:t>,</w:t>
      </w:r>
      <w:r w:rsidR="00592225">
        <w:rPr>
          <w:sz w:val="22"/>
          <w:szCs w:val="22"/>
        </w:rPr>
        <w:t xml:space="preserve"> </w:t>
      </w:r>
      <w:r w:rsidR="00592225" w:rsidRPr="00592225">
        <w:rPr>
          <w:sz w:val="22"/>
          <w:szCs w:val="22"/>
        </w:rPr>
        <w:t xml:space="preserve">przy czym obowiązek nabycia akcji od akcjonariusza </w:t>
      </w:r>
      <w:r w:rsidR="00592225">
        <w:rPr>
          <w:sz w:val="22"/>
          <w:szCs w:val="22"/>
        </w:rPr>
        <w:t xml:space="preserve">mniejszościowego </w:t>
      </w:r>
      <w:r w:rsidR="00592225" w:rsidRPr="00592225">
        <w:rPr>
          <w:sz w:val="22"/>
          <w:szCs w:val="22"/>
        </w:rPr>
        <w:t>spoczywa również solidarnie na każdej ze stron porozumienia, o którym mowa w art. 87 ust. 1 pkt 5, o ile członkowie tego porozumienia posiadają wspólnie, wraz z podmiotami dominującymi i zależnymi, co najmniej 66% ogólnej liczby głosów</w:t>
      </w:r>
      <w:r w:rsidR="009D138E">
        <w:rPr>
          <w:sz w:val="22"/>
          <w:szCs w:val="22"/>
        </w:rPr>
        <w:t>,</w:t>
      </w:r>
    </w:p>
    <w:p w14:paraId="59D46686" w14:textId="77777777" w:rsidR="00617CA0" w:rsidRPr="0057309D" w:rsidRDefault="00617CA0" w:rsidP="002D5DC0">
      <w:pPr>
        <w:pStyle w:val="NormalnyWeb"/>
        <w:spacing w:line="276" w:lineRule="auto"/>
        <w:jc w:val="both"/>
        <w:rPr>
          <w:sz w:val="22"/>
          <w:szCs w:val="22"/>
        </w:rPr>
      </w:pPr>
      <w:r w:rsidRPr="0057309D">
        <w:rPr>
          <w:sz w:val="22"/>
          <w:szCs w:val="22"/>
        </w:rPr>
        <w:t xml:space="preserve">3) udział akcjonariusza uprawnionego do żądania wykupu akcji </w:t>
      </w:r>
      <w:r w:rsidR="00B70EB8" w:rsidRPr="0057309D">
        <w:rPr>
          <w:sz w:val="22"/>
          <w:szCs w:val="22"/>
        </w:rPr>
        <w:t xml:space="preserve">w ogóle głosów w spółce </w:t>
      </w:r>
      <w:r w:rsidRPr="0057309D">
        <w:rPr>
          <w:sz w:val="22"/>
          <w:szCs w:val="22"/>
        </w:rPr>
        <w:t xml:space="preserve">nieprzekraczający </w:t>
      </w:r>
      <w:r w:rsidR="00737D50" w:rsidRPr="0057309D">
        <w:rPr>
          <w:sz w:val="22"/>
          <w:szCs w:val="22"/>
        </w:rPr>
        <w:t>10</w:t>
      </w:r>
      <w:r w:rsidRPr="0057309D">
        <w:rPr>
          <w:sz w:val="22"/>
          <w:szCs w:val="22"/>
        </w:rPr>
        <w:t>%,</w:t>
      </w:r>
    </w:p>
    <w:p w14:paraId="446E158B" w14:textId="77777777" w:rsidR="004C6EFF" w:rsidRPr="0057309D" w:rsidRDefault="004C6EFF" w:rsidP="002D5DC0">
      <w:pPr>
        <w:pStyle w:val="NormalnyWeb"/>
        <w:spacing w:line="276" w:lineRule="auto"/>
        <w:jc w:val="both"/>
        <w:rPr>
          <w:sz w:val="22"/>
          <w:szCs w:val="22"/>
        </w:rPr>
      </w:pPr>
      <w:r w:rsidRPr="0057309D">
        <w:rPr>
          <w:sz w:val="22"/>
          <w:szCs w:val="22"/>
        </w:rPr>
        <w:t xml:space="preserve">4) </w:t>
      </w:r>
      <w:r w:rsidR="009E5672" w:rsidRPr="0057309D">
        <w:rPr>
          <w:sz w:val="22"/>
          <w:szCs w:val="22"/>
        </w:rPr>
        <w:t xml:space="preserve">historyczna cena </w:t>
      </w:r>
      <w:r w:rsidR="004741AD" w:rsidRPr="0057309D">
        <w:rPr>
          <w:sz w:val="22"/>
          <w:szCs w:val="22"/>
        </w:rPr>
        <w:t>akcji zaproponowana w wezwaniu w związku z wykluczenie</w:t>
      </w:r>
      <w:r w:rsidR="003C3EDB" w:rsidRPr="0057309D">
        <w:rPr>
          <w:sz w:val="22"/>
          <w:szCs w:val="22"/>
        </w:rPr>
        <w:t>m</w:t>
      </w:r>
      <w:r w:rsidR="004741AD" w:rsidRPr="0057309D">
        <w:rPr>
          <w:sz w:val="22"/>
          <w:szCs w:val="22"/>
        </w:rPr>
        <w:t xml:space="preserve"> spółki z obrotu na rynku regulowanym stanowi</w:t>
      </w:r>
      <w:r w:rsidR="00671716" w:rsidRPr="0057309D">
        <w:rPr>
          <w:sz w:val="22"/>
          <w:szCs w:val="22"/>
        </w:rPr>
        <w:t>ąca</w:t>
      </w:r>
      <w:r w:rsidR="004741AD" w:rsidRPr="0057309D">
        <w:rPr>
          <w:sz w:val="22"/>
          <w:szCs w:val="22"/>
        </w:rPr>
        <w:t xml:space="preserve"> cenę znacznie odbiegając</w:t>
      </w:r>
      <w:r w:rsidR="002E3C0A" w:rsidRPr="0057309D">
        <w:rPr>
          <w:sz w:val="22"/>
          <w:szCs w:val="22"/>
        </w:rPr>
        <w:t>ą</w:t>
      </w:r>
      <w:r w:rsidR="004741AD" w:rsidRPr="0057309D">
        <w:rPr>
          <w:sz w:val="22"/>
          <w:szCs w:val="22"/>
        </w:rPr>
        <w:t xml:space="preserve"> od wartości godziwej akcji na dzień </w:t>
      </w:r>
      <w:r w:rsidR="006E6FEC" w:rsidRPr="0057309D">
        <w:rPr>
          <w:sz w:val="22"/>
          <w:szCs w:val="22"/>
        </w:rPr>
        <w:t xml:space="preserve">skierowania </w:t>
      </w:r>
      <w:r w:rsidR="004741AD" w:rsidRPr="0057309D">
        <w:rPr>
          <w:sz w:val="22"/>
          <w:szCs w:val="22"/>
        </w:rPr>
        <w:t>wezwania</w:t>
      </w:r>
      <w:r w:rsidR="00784A35" w:rsidRPr="0057309D">
        <w:rPr>
          <w:sz w:val="22"/>
          <w:szCs w:val="22"/>
        </w:rPr>
        <w:t>,</w:t>
      </w:r>
    </w:p>
    <w:p w14:paraId="4E3D60CB" w14:textId="7C4D2A45" w:rsidR="00784A35" w:rsidRPr="0057309D" w:rsidRDefault="00784A35" w:rsidP="002D5DC0">
      <w:pPr>
        <w:pStyle w:val="NormalnyWeb"/>
        <w:spacing w:line="276" w:lineRule="auto"/>
        <w:jc w:val="both"/>
        <w:rPr>
          <w:sz w:val="22"/>
          <w:szCs w:val="22"/>
        </w:rPr>
      </w:pPr>
      <w:r w:rsidRPr="0057309D">
        <w:rPr>
          <w:sz w:val="22"/>
          <w:szCs w:val="22"/>
        </w:rPr>
        <w:t xml:space="preserve">5) </w:t>
      </w:r>
      <w:r w:rsidR="003C3EDB" w:rsidRPr="0057309D">
        <w:rPr>
          <w:sz w:val="22"/>
          <w:szCs w:val="22"/>
        </w:rPr>
        <w:t xml:space="preserve">zgłoszenie </w:t>
      </w:r>
      <w:r w:rsidR="000D2D69">
        <w:rPr>
          <w:sz w:val="22"/>
          <w:szCs w:val="22"/>
        </w:rPr>
        <w:t>akcjonariuszowi dominującemu</w:t>
      </w:r>
      <w:r w:rsidR="003C3EDB" w:rsidRPr="0057309D">
        <w:rPr>
          <w:sz w:val="22"/>
          <w:szCs w:val="22"/>
        </w:rPr>
        <w:t xml:space="preserve"> </w:t>
      </w:r>
      <w:r w:rsidR="006E6FEC" w:rsidRPr="0057309D">
        <w:rPr>
          <w:sz w:val="22"/>
          <w:szCs w:val="22"/>
        </w:rPr>
        <w:t>przez akcjonariusza</w:t>
      </w:r>
      <w:r w:rsidR="003E7A73">
        <w:rPr>
          <w:sz w:val="22"/>
          <w:szCs w:val="22"/>
        </w:rPr>
        <w:t xml:space="preserve"> mniejszościowego</w:t>
      </w:r>
      <w:r w:rsidR="006E6FEC" w:rsidRPr="0057309D">
        <w:rPr>
          <w:sz w:val="22"/>
          <w:szCs w:val="22"/>
        </w:rPr>
        <w:t xml:space="preserve"> </w:t>
      </w:r>
      <w:r w:rsidR="003C3EDB" w:rsidRPr="0057309D">
        <w:rPr>
          <w:sz w:val="22"/>
          <w:szCs w:val="22"/>
        </w:rPr>
        <w:t xml:space="preserve">pisemnego żądania </w:t>
      </w:r>
      <w:r w:rsidR="006E6FEC" w:rsidRPr="0057309D">
        <w:rPr>
          <w:sz w:val="22"/>
          <w:szCs w:val="22"/>
        </w:rPr>
        <w:t xml:space="preserve">wykupu akcji </w:t>
      </w:r>
      <w:r w:rsidR="003C3EDB" w:rsidRPr="0057309D">
        <w:rPr>
          <w:sz w:val="22"/>
          <w:szCs w:val="22"/>
        </w:rPr>
        <w:t>w terminie 6 miesięcy od dnia wejście w życie ustawy</w:t>
      </w:r>
      <w:r w:rsidR="009D138E">
        <w:rPr>
          <w:sz w:val="22"/>
          <w:szCs w:val="22"/>
        </w:rPr>
        <w:t>,</w:t>
      </w:r>
    </w:p>
    <w:p w14:paraId="23B729C8" w14:textId="54228515" w:rsidR="003C3EDB" w:rsidRPr="0057309D" w:rsidRDefault="003E1AAD" w:rsidP="002D5DC0">
      <w:pPr>
        <w:pStyle w:val="NormalnyWeb"/>
        <w:spacing w:line="276" w:lineRule="auto"/>
        <w:jc w:val="both"/>
        <w:rPr>
          <w:sz w:val="22"/>
          <w:szCs w:val="22"/>
        </w:rPr>
      </w:pPr>
      <w:r w:rsidRPr="0057309D">
        <w:rPr>
          <w:sz w:val="22"/>
          <w:szCs w:val="22"/>
        </w:rPr>
        <w:t xml:space="preserve">6) ustalenie </w:t>
      </w:r>
      <w:r w:rsidR="00880F43">
        <w:rPr>
          <w:sz w:val="22"/>
          <w:szCs w:val="22"/>
        </w:rPr>
        <w:t xml:space="preserve">wartości spółki w tym </w:t>
      </w:r>
      <w:r w:rsidRPr="0057309D">
        <w:rPr>
          <w:sz w:val="22"/>
          <w:szCs w:val="22"/>
        </w:rPr>
        <w:t xml:space="preserve">ceny </w:t>
      </w:r>
      <w:r w:rsidR="00375186">
        <w:rPr>
          <w:sz w:val="22"/>
          <w:szCs w:val="22"/>
        </w:rPr>
        <w:t>jednej</w:t>
      </w:r>
      <w:r w:rsidR="00781DA8" w:rsidRPr="0057309D">
        <w:rPr>
          <w:sz w:val="22"/>
          <w:szCs w:val="22"/>
        </w:rPr>
        <w:t xml:space="preserve"> akcji przez firmę audytorską w odniesieniu do </w:t>
      </w:r>
      <w:r w:rsidR="00416858" w:rsidRPr="0057309D">
        <w:rPr>
          <w:sz w:val="22"/>
          <w:szCs w:val="22"/>
        </w:rPr>
        <w:t xml:space="preserve">kryterium </w:t>
      </w:r>
      <w:r w:rsidR="00781DA8" w:rsidRPr="0057309D">
        <w:rPr>
          <w:sz w:val="22"/>
          <w:szCs w:val="22"/>
        </w:rPr>
        <w:t>wartości godziwej akcji</w:t>
      </w:r>
      <w:r w:rsidR="009D138E">
        <w:rPr>
          <w:sz w:val="22"/>
          <w:szCs w:val="22"/>
        </w:rPr>
        <w:t>.</w:t>
      </w:r>
    </w:p>
    <w:p w14:paraId="44CAB5EC" w14:textId="77777777" w:rsidR="00731EB5" w:rsidRDefault="006E76EC" w:rsidP="002D5DC0">
      <w:pPr>
        <w:pStyle w:val="NormalnyWeb"/>
        <w:spacing w:line="276" w:lineRule="auto"/>
        <w:jc w:val="both"/>
        <w:rPr>
          <w:sz w:val="22"/>
          <w:szCs w:val="22"/>
        </w:rPr>
      </w:pPr>
      <w:r w:rsidRPr="0057309D">
        <w:rPr>
          <w:sz w:val="22"/>
          <w:szCs w:val="22"/>
        </w:rPr>
        <w:t>Mając na uwadze powyższe zwracamy się do Pa</w:t>
      </w:r>
      <w:r w:rsidR="00AE2A10" w:rsidRPr="0057309D">
        <w:rPr>
          <w:sz w:val="22"/>
          <w:szCs w:val="22"/>
        </w:rPr>
        <w:t>ństwa o uwzględnienie postulatów zawartych w petycji, które uregulują sytuację</w:t>
      </w:r>
      <w:r w:rsidR="00C8683A" w:rsidRPr="0057309D">
        <w:rPr>
          <w:sz w:val="22"/>
          <w:szCs w:val="22"/>
        </w:rPr>
        <w:t xml:space="preserve"> prawną akcjonariuszy mniejszościowych byłych spółek giełdowych wykluczonych z obrotu w oparciu o poprzednio obowiązujące przepisy, które nie zapewniały należytej ochrony </w:t>
      </w:r>
      <w:r w:rsidR="00D60C88" w:rsidRPr="0057309D">
        <w:rPr>
          <w:sz w:val="22"/>
          <w:szCs w:val="22"/>
        </w:rPr>
        <w:t>ich własności poprzez zagwarantowanie skutecznych i sprawiedliwych mechanizmów określenia ceny nabycia akcji w wezwaniu.</w:t>
      </w:r>
      <w:r w:rsidR="001B050D" w:rsidRPr="0057309D">
        <w:rPr>
          <w:sz w:val="22"/>
          <w:szCs w:val="22"/>
        </w:rPr>
        <w:t xml:space="preserve"> </w:t>
      </w:r>
      <w:r w:rsidR="00104EDA" w:rsidRPr="0057309D">
        <w:rPr>
          <w:sz w:val="22"/>
          <w:szCs w:val="22"/>
        </w:rPr>
        <w:t xml:space="preserve">Charakter procedowanych obecnie prac legislacyjnych uzasadnia bowiem </w:t>
      </w:r>
      <w:r w:rsidR="00C82421" w:rsidRPr="0057309D">
        <w:rPr>
          <w:sz w:val="22"/>
          <w:szCs w:val="22"/>
        </w:rPr>
        <w:t xml:space="preserve">równoległe </w:t>
      </w:r>
      <w:r w:rsidR="00104EDA" w:rsidRPr="0057309D">
        <w:rPr>
          <w:sz w:val="22"/>
          <w:szCs w:val="22"/>
        </w:rPr>
        <w:t>wprowadzenie</w:t>
      </w:r>
      <w:r w:rsidR="001B050D" w:rsidRPr="0057309D">
        <w:rPr>
          <w:sz w:val="22"/>
          <w:szCs w:val="22"/>
        </w:rPr>
        <w:t xml:space="preserve"> kompleksowych regulacji zapewniających akcjonariuszom spółek, których walory zostały wykluczone z obrotu regulowanego, prawa do godziwego odsprzedania swoich praw udziałowych</w:t>
      </w:r>
      <w:r w:rsidR="00104EDA" w:rsidRPr="0057309D">
        <w:rPr>
          <w:sz w:val="22"/>
          <w:szCs w:val="22"/>
        </w:rPr>
        <w:t>.</w:t>
      </w:r>
      <w:r w:rsidR="00367070" w:rsidRPr="0057309D">
        <w:rPr>
          <w:sz w:val="22"/>
          <w:szCs w:val="22"/>
        </w:rPr>
        <w:t xml:space="preserve"> </w:t>
      </w:r>
      <w:r w:rsidR="009B630D" w:rsidRPr="0057309D">
        <w:rPr>
          <w:sz w:val="22"/>
          <w:szCs w:val="22"/>
        </w:rPr>
        <w:t>S</w:t>
      </w:r>
      <w:r w:rsidR="00367070" w:rsidRPr="0057309D">
        <w:rPr>
          <w:sz w:val="22"/>
          <w:szCs w:val="22"/>
        </w:rPr>
        <w:t xml:space="preserve">ugerowane zmiany w sposób istotny przyczynić się mogą do poprawy jakości obrotu gospodarczego oraz wyeliminowania negatywnych zjawisk na rynkach kapitałowych, a także przywrócą </w:t>
      </w:r>
      <w:r w:rsidR="00C539B1" w:rsidRPr="0057309D">
        <w:rPr>
          <w:sz w:val="22"/>
          <w:szCs w:val="22"/>
        </w:rPr>
        <w:t>elementarną sprawiedliwość akcjonariuszom mniejszościowym byłych spółek giełdowych.</w:t>
      </w:r>
    </w:p>
    <w:p w14:paraId="2FB1F787" w14:textId="77777777" w:rsidR="00347FFE" w:rsidRPr="0057309D" w:rsidRDefault="00347FFE" w:rsidP="002D5DC0">
      <w:pPr>
        <w:pStyle w:val="NormalnyWeb"/>
        <w:spacing w:line="276" w:lineRule="auto"/>
        <w:jc w:val="both"/>
        <w:rPr>
          <w:sz w:val="22"/>
          <w:szCs w:val="22"/>
        </w:rPr>
      </w:pPr>
    </w:p>
    <w:p w14:paraId="5971B2E2" w14:textId="77777777" w:rsidR="00BA64F9" w:rsidRDefault="00C539B1" w:rsidP="00347FFE">
      <w:pPr>
        <w:pStyle w:val="NormalnyWeb"/>
        <w:spacing w:line="276" w:lineRule="auto"/>
        <w:ind w:left="3540" w:firstLine="708"/>
        <w:jc w:val="both"/>
        <w:rPr>
          <w:i/>
          <w:iCs/>
          <w:sz w:val="22"/>
          <w:szCs w:val="22"/>
        </w:rPr>
      </w:pPr>
      <w:r w:rsidRPr="0057309D">
        <w:rPr>
          <w:i/>
          <w:iCs/>
          <w:sz w:val="22"/>
          <w:szCs w:val="22"/>
        </w:rPr>
        <w:t>Jakub Ciborowski – podpisano profilem zaufanym</w:t>
      </w:r>
    </w:p>
    <w:p w14:paraId="67C94C9A" w14:textId="77777777" w:rsidR="00261D7B" w:rsidRDefault="00261D7B" w:rsidP="00261D7B">
      <w:pPr>
        <w:pStyle w:val="NormalnyWeb"/>
        <w:spacing w:line="276" w:lineRule="auto"/>
        <w:rPr>
          <w:i/>
          <w:iCs/>
          <w:sz w:val="22"/>
          <w:szCs w:val="22"/>
        </w:rPr>
      </w:pPr>
    </w:p>
    <w:p w14:paraId="5B2C0B03" w14:textId="77777777" w:rsidR="00D278A0" w:rsidRDefault="00D278A0" w:rsidP="00261D7B">
      <w:pPr>
        <w:pStyle w:val="NormalnyWeb"/>
        <w:spacing w:line="276" w:lineRule="auto"/>
        <w:rPr>
          <w:i/>
          <w:iCs/>
          <w:sz w:val="22"/>
          <w:szCs w:val="22"/>
        </w:rPr>
      </w:pPr>
    </w:p>
    <w:p w14:paraId="38AA27FE" w14:textId="77777777" w:rsidR="00D278A0" w:rsidRDefault="00D278A0" w:rsidP="00261D7B">
      <w:pPr>
        <w:pStyle w:val="NormalnyWeb"/>
        <w:spacing w:line="276" w:lineRule="auto"/>
        <w:rPr>
          <w:i/>
          <w:iCs/>
          <w:sz w:val="22"/>
          <w:szCs w:val="22"/>
        </w:rPr>
      </w:pPr>
    </w:p>
    <w:p w14:paraId="41340542" w14:textId="77777777" w:rsidR="00D278A0" w:rsidRDefault="00D278A0" w:rsidP="00261D7B">
      <w:pPr>
        <w:pStyle w:val="NormalnyWeb"/>
        <w:spacing w:line="276" w:lineRule="auto"/>
        <w:rPr>
          <w:i/>
          <w:iCs/>
          <w:sz w:val="22"/>
          <w:szCs w:val="22"/>
        </w:rPr>
      </w:pPr>
    </w:p>
    <w:p w14:paraId="274AB67F" w14:textId="77777777" w:rsidR="00D278A0" w:rsidRPr="00D278A0" w:rsidRDefault="00D278A0" w:rsidP="00261D7B">
      <w:pPr>
        <w:pStyle w:val="NormalnyWeb"/>
        <w:spacing w:line="276" w:lineRule="auto"/>
        <w:rPr>
          <w:i/>
          <w:iCs/>
          <w:sz w:val="18"/>
          <w:szCs w:val="18"/>
        </w:rPr>
      </w:pPr>
    </w:p>
    <w:p w14:paraId="79CFD28C" w14:textId="77777777" w:rsidR="00D278A0" w:rsidRPr="00D278A0" w:rsidRDefault="00D278A0" w:rsidP="00261D7B">
      <w:pPr>
        <w:pStyle w:val="NormalnyWeb"/>
        <w:spacing w:line="276" w:lineRule="auto"/>
        <w:rPr>
          <w:i/>
          <w:iCs/>
          <w:sz w:val="18"/>
          <w:szCs w:val="18"/>
        </w:rPr>
      </w:pPr>
    </w:p>
    <w:p w14:paraId="1FB12033" w14:textId="431A3696" w:rsidR="00261D7B" w:rsidRPr="00D278A0" w:rsidRDefault="00261D7B" w:rsidP="00261D7B">
      <w:pPr>
        <w:pStyle w:val="NormalnyWeb"/>
        <w:spacing w:line="276" w:lineRule="auto"/>
        <w:rPr>
          <w:i/>
          <w:iCs/>
          <w:sz w:val="18"/>
          <w:szCs w:val="18"/>
          <w:u w:val="single"/>
        </w:rPr>
      </w:pPr>
      <w:r w:rsidRPr="00D278A0">
        <w:rPr>
          <w:i/>
          <w:iCs/>
          <w:sz w:val="18"/>
          <w:szCs w:val="18"/>
          <w:u w:val="single"/>
        </w:rPr>
        <w:t>Do wiadomości:</w:t>
      </w:r>
    </w:p>
    <w:p w14:paraId="05E57A91" w14:textId="3B56F3E3" w:rsidR="00261D7B" w:rsidRPr="00D278A0" w:rsidRDefault="00893824" w:rsidP="00893824">
      <w:pPr>
        <w:pStyle w:val="NormalnyWeb"/>
        <w:spacing w:line="276" w:lineRule="auto"/>
        <w:rPr>
          <w:i/>
          <w:iCs/>
          <w:sz w:val="18"/>
          <w:szCs w:val="18"/>
        </w:rPr>
      </w:pPr>
      <w:r w:rsidRPr="00D278A0">
        <w:rPr>
          <w:i/>
          <w:iCs/>
          <w:sz w:val="18"/>
          <w:szCs w:val="18"/>
        </w:rPr>
        <w:t>Urząd Komisji Nadzoru Finansowego</w:t>
      </w:r>
      <w:r w:rsidRPr="00D278A0">
        <w:rPr>
          <w:i/>
          <w:iCs/>
          <w:sz w:val="18"/>
          <w:szCs w:val="18"/>
        </w:rPr>
        <w:br/>
        <w:t>ul. Piękna 20, skr. poczt. 419, 00-549 Warszawa</w:t>
      </w:r>
    </w:p>
    <w:sectPr w:rsidR="00261D7B" w:rsidRPr="00D278A0" w:rsidSect="00FA0881">
      <w:headerReference w:type="default" r:id="rId8"/>
      <w:footerReference w:type="default" r:id="rId9"/>
      <w:headerReference w:type="first" r:id="rId10"/>
      <w:footerReference w:type="first" r:id="rId11"/>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E978D0" w14:textId="77777777" w:rsidR="006A0523" w:rsidRDefault="006A0523" w:rsidP="008A1FAA">
      <w:r>
        <w:separator/>
      </w:r>
    </w:p>
  </w:endnote>
  <w:endnote w:type="continuationSeparator" w:id="0">
    <w:p w14:paraId="02C840BA" w14:textId="77777777" w:rsidR="006A0523" w:rsidRDefault="006A0523" w:rsidP="008A1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7C0B6" w14:textId="77777777" w:rsidR="00597FC3" w:rsidRPr="004D3451" w:rsidRDefault="00021886" w:rsidP="008B0B32">
    <w:pPr>
      <w:pBdr>
        <w:top w:val="single" w:sz="4" w:space="1" w:color="auto"/>
      </w:pBdr>
      <w:jc w:val="center"/>
      <w:rPr>
        <w:sz w:val="18"/>
        <w:szCs w:val="18"/>
      </w:rPr>
    </w:pPr>
    <w:r w:rsidRPr="004D3451">
      <w:rPr>
        <w:sz w:val="18"/>
        <w:szCs w:val="18"/>
      </w:rPr>
      <w:t xml:space="preserve">Strona </w:t>
    </w:r>
    <w:r w:rsidR="00361306" w:rsidRPr="004D3451">
      <w:rPr>
        <w:sz w:val="18"/>
        <w:szCs w:val="18"/>
      </w:rPr>
      <w:fldChar w:fldCharType="begin"/>
    </w:r>
    <w:r w:rsidRPr="004D3451">
      <w:rPr>
        <w:sz w:val="18"/>
        <w:szCs w:val="18"/>
      </w:rPr>
      <w:instrText xml:space="preserve"> PAGE </w:instrText>
    </w:r>
    <w:r w:rsidR="00361306" w:rsidRPr="004D3451">
      <w:rPr>
        <w:sz w:val="18"/>
        <w:szCs w:val="18"/>
      </w:rPr>
      <w:fldChar w:fldCharType="separate"/>
    </w:r>
    <w:r w:rsidR="00E73DE2">
      <w:rPr>
        <w:noProof/>
        <w:sz w:val="18"/>
        <w:szCs w:val="18"/>
      </w:rPr>
      <w:t>2</w:t>
    </w:r>
    <w:r w:rsidR="00361306" w:rsidRPr="004D3451">
      <w:rPr>
        <w:sz w:val="18"/>
        <w:szCs w:val="18"/>
      </w:rPr>
      <w:fldChar w:fldCharType="end"/>
    </w:r>
    <w:r w:rsidRPr="004D3451">
      <w:rPr>
        <w:sz w:val="18"/>
        <w:szCs w:val="18"/>
      </w:rPr>
      <w:t xml:space="preserve"> z </w:t>
    </w:r>
    <w:r w:rsidR="00361306" w:rsidRPr="004D3451">
      <w:rPr>
        <w:sz w:val="18"/>
        <w:szCs w:val="18"/>
      </w:rPr>
      <w:fldChar w:fldCharType="begin"/>
    </w:r>
    <w:r w:rsidRPr="004D3451">
      <w:rPr>
        <w:sz w:val="18"/>
        <w:szCs w:val="18"/>
      </w:rPr>
      <w:instrText xml:space="preserve"> NUMPAGES  </w:instrText>
    </w:r>
    <w:r w:rsidR="00361306" w:rsidRPr="004D3451">
      <w:rPr>
        <w:sz w:val="18"/>
        <w:szCs w:val="18"/>
      </w:rPr>
      <w:fldChar w:fldCharType="separate"/>
    </w:r>
    <w:r w:rsidR="00E73DE2">
      <w:rPr>
        <w:noProof/>
        <w:sz w:val="18"/>
        <w:szCs w:val="18"/>
      </w:rPr>
      <w:t>2</w:t>
    </w:r>
    <w:r w:rsidR="00361306" w:rsidRPr="004D3451">
      <w:rPr>
        <w:sz w:val="18"/>
        <w:szCs w:val="18"/>
      </w:rPr>
      <w:fldChar w:fldCharType="end"/>
    </w:r>
  </w:p>
  <w:p w14:paraId="4408F323" w14:textId="77777777" w:rsidR="002F45FD" w:rsidRPr="00CF16EA" w:rsidRDefault="006A0523" w:rsidP="009B1FBA">
    <w:pPr>
      <w:pStyle w:val="Stopka"/>
      <w:jc w:val="center"/>
      <w:rPr>
        <w:rFonts w:ascii="Calibri" w:hAnsi="Calibri" w:cs="Arial"/>
        <w:b/>
        <w:color w:val="17365D"/>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41EF2" w14:textId="77777777" w:rsidR="00215BE3" w:rsidRPr="004D3451" w:rsidRDefault="00021886" w:rsidP="00247EB2">
    <w:pPr>
      <w:pStyle w:val="Stopka"/>
      <w:pBdr>
        <w:top w:val="single" w:sz="4" w:space="0" w:color="auto"/>
      </w:pBdr>
      <w:jc w:val="center"/>
      <w:rPr>
        <w:sz w:val="18"/>
        <w:szCs w:val="18"/>
      </w:rPr>
    </w:pPr>
    <w:r w:rsidRPr="004D3451">
      <w:rPr>
        <w:sz w:val="18"/>
        <w:szCs w:val="18"/>
      </w:rPr>
      <w:t xml:space="preserve">Strona </w:t>
    </w:r>
    <w:r w:rsidR="00361306" w:rsidRPr="004D3451">
      <w:rPr>
        <w:sz w:val="18"/>
        <w:szCs w:val="18"/>
      </w:rPr>
      <w:fldChar w:fldCharType="begin"/>
    </w:r>
    <w:r w:rsidRPr="004D3451">
      <w:rPr>
        <w:sz w:val="18"/>
        <w:szCs w:val="18"/>
      </w:rPr>
      <w:instrText>PAGE</w:instrText>
    </w:r>
    <w:r w:rsidR="00361306" w:rsidRPr="004D3451">
      <w:rPr>
        <w:sz w:val="18"/>
        <w:szCs w:val="18"/>
      </w:rPr>
      <w:fldChar w:fldCharType="separate"/>
    </w:r>
    <w:r w:rsidR="00E73DE2">
      <w:rPr>
        <w:noProof/>
        <w:sz w:val="18"/>
        <w:szCs w:val="18"/>
      </w:rPr>
      <w:t>1</w:t>
    </w:r>
    <w:r w:rsidR="00361306" w:rsidRPr="004D3451">
      <w:rPr>
        <w:sz w:val="18"/>
        <w:szCs w:val="18"/>
      </w:rPr>
      <w:fldChar w:fldCharType="end"/>
    </w:r>
    <w:r w:rsidRPr="004D3451">
      <w:rPr>
        <w:sz w:val="18"/>
        <w:szCs w:val="18"/>
      </w:rPr>
      <w:t xml:space="preserve"> z </w:t>
    </w:r>
    <w:r w:rsidR="00361306" w:rsidRPr="004D3451">
      <w:rPr>
        <w:sz w:val="18"/>
        <w:szCs w:val="18"/>
      </w:rPr>
      <w:fldChar w:fldCharType="begin"/>
    </w:r>
    <w:r w:rsidRPr="004D3451">
      <w:rPr>
        <w:sz w:val="18"/>
        <w:szCs w:val="18"/>
      </w:rPr>
      <w:instrText>NUMPAGES</w:instrText>
    </w:r>
    <w:r w:rsidR="00361306" w:rsidRPr="004D3451">
      <w:rPr>
        <w:sz w:val="18"/>
        <w:szCs w:val="18"/>
      </w:rPr>
      <w:fldChar w:fldCharType="separate"/>
    </w:r>
    <w:r w:rsidR="00E73DE2">
      <w:rPr>
        <w:noProof/>
        <w:sz w:val="18"/>
        <w:szCs w:val="18"/>
      </w:rPr>
      <w:t>1</w:t>
    </w:r>
    <w:r w:rsidR="00361306" w:rsidRPr="004D3451">
      <w:rPr>
        <w:sz w:val="18"/>
        <w:szCs w:val="18"/>
      </w:rPr>
      <w:fldChar w:fldCharType="end"/>
    </w:r>
  </w:p>
  <w:p w14:paraId="31B3FE96" w14:textId="77777777" w:rsidR="00215BE3" w:rsidRDefault="006A052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C4D23" w14:textId="77777777" w:rsidR="006A0523" w:rsidRDefault="006A0523" w:rsidP="008A1FAA">
      <w:r>
        <w:separator/>
      </w:r>
    </w:p>
  </w:footnote>
  <w:footnote w:type="continuationSeparator" w:id="0">
    <w:p w14:paraId="19FDB734" w14:textId="77777777" w:rsidR="006A0523" w:rsidRDefault="006A0523" w:rsidP="008A1F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95783" w14:textId="77777777" w:rsidR="00D87B04" w:rsidRPr="004D3451" w:rsidRDefault="00021886" w:rsidP="00D87B04">
    <w:pPr>
      <w:pStyle w:val="Nagwek"/>
      <w:pBdr>
        <w:bottom w:val="single" w:sz="4" w:space="1" w:color="auto"/>
      </w:pBdr>
      <w:jc w:val="center"/>
      <w:rPr>
        <w:i/>
        <w:sz w:val="18"/>
        <w:szCs w:val="18"/>
      </w:rPr>
    </w:pPr>
    <w:r w:rsidRPr="004D3451">
      <w:rPr>
        <w:i/>
        <w:sz w:val="18"/>
        <w:szCs w:val="18"/>
      </w:rPr>
      <w:t>JAKUB CIBOROWSKI - KANCELARIA RADCY PRAWNEGO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9293E" w14:textId="77777777" w:rsidR="00330685" w:rsidRPr="00350C41" w:rsidRDefault="006E76EC" w:rsidP="00FE3FB8">
    <w:pPr>
      <w:pStyle w:val="Nagwek"/>
      <w:spacing w:line="276" w:lineRule="auto"/>
      <w:jc w:val="center"/>
      <w:rPr>
        <w:rFonts w:ascii="Californian FB" w:hAnsi="Californian FB" w:cs="Arial"/>
        <w:b/>
        <w:sz w:val="20"/>
        <w:szCs w:val="20"/>
      </w:rPr>
    </w:pPr>
    <w:r w:rsidRPr="00350C41">
      <w:rPr>
        <w:rFonts w:ascii="Californian FB" w:hAnsi="Californian FB" w:cs="Arial"/>
        <w:b/>
        <w:noProof/>
        <w:sz w:val="20"/>
        <w:szCs w:val="20"/>
      </w:rPr>
      <w:drawing>
        <wp:inline distT="0" distB="0" distL="0" distR="0" wp14:anchorId="32217861" wp14:editId="4913F9CE">
          <wp:extent cx="2074545" cy="31305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4545" cy="313055"/>
                  </a:xfrm>
                  <a:prstGeom prst="rect">
                    <a:avLst/>
                  </a:prstGeom>
                  <a:noFill/>
                  <a:ln>
                    <a:noFill/>
                  </a:ln>
                </pic:spPr>
              </pic:pic>
            </a:graphicData>
          </a:graphic>
        </wp:inline>
      </w:drawing>
    </w:r>
    <w:r w:rsidR="00021886" w:rsidRPr="00350C41">
      <w:rPr>
        <w:rFonts w:ascii="Californian FB" w:hAnsi="Californian FB" w:cs="Arial"/>
        <w:b/>
        <w:sz w:val="20"/>
        <w:szCs w:val="20"/>
      </w:rPr>
      <w:t xml:space="preserve"> </w:t>
    </w:r>
  </w:p>
  <w:p w14:paraId="7890374A" w14:textId="77777777" w:rsidR="00A536BF" w:rsidRPr="00350C41" w:rsidRDefault="00021886" w:rsidP="00A05D65">
    <w:pPr>
      <w:pStyle w:val="Nagwek"/>
      <w:pBdr>
        <w:bottom w:val="single" w:sz="4" w:space="1" w:color="auto"/>
      </w:pBdr>
      <w:spacing w:line="276" w:lineRule="auto"/>
      <w:jc w:val="center"/>
      <w:rPr>
        <w:b/>
        <w:sz w:val="18"/>
        <w:szCs w:val="18"/>
      </w:rPr>
    </w:pPr>
    <w:r w:rsidRPr="00350C41">
      <w:rPr>
        <w:b/>
        <w:sz w:val="18"/>
        <w:szCs w:val="18"/>
      </w:rPr>
      <w:t xml:space="preserve">tel. 606-295-630, email: </w:t>
    </w:r>
    <w:hyperlink r:id="rId2" w:history="1">
      <w:r w:rsidR="000251AB" w:rsidRPr="00350C41">
        <w:rPr>
          <w:rStyle w:val="Hipercze"/>
          <w:b/>
          <w:color w:val="auto"/>
          <w:sz w:val="18"/>
          <w:szCs w:val="18"/>
          <w:u w:val="none"/>
        </w:rPr>
        <w:t>jc@kancelaria-ciborowski.pl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3B6791"/>
    <w:multiLevelType w:val="hybridMultilevel"/>
    <w:tmpl w:val="62ACB6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6EC"/>
    <w:rsid w:val="00001225"/>
    <w:rsid w:val="00005851"/>
    <w:rsid w:val="00006F20"/>
    <w:rsid w:val="000130CE"/>
    <w:rsid w:val="00016D99"/>
    <w:rsid w:val="00021886"/>
    <w:rsid w:val="00021B8E"/>
    <w:rsid w:val="000251AB"/>
    <w:rsid w:val="00033CA5"/>
    <w:rsid w:val="00041094"/>
    <w:rsid w:val="00042836"/>
    <w:rsid w:val="000465D7"/>
    <w:rsid w:val="00052225"/>
    <w:rsid w:val="00053702"/>
    <w:rsid w:val="000569C9"/>
    <w:rsid w:val="00057DE3"/>
    <w:rsid w:val="00064110"/>
    <w:rsid w:val="0006546A"/>
    <w:rsid w:val="00075C5D"/>
    <w:rsid w:val="00082F28"/>
    <w:rsid w:val="00094109"/>
    <w:rsid w:val="000A03F2"/>
    <w:rsid w:val="000A76A0"/>
    <w:rsid w:val="000A7F37"/>
    <w:rsid w:val="000B1844"/>
    <w:rsid w:val="000C2418"/>
    <w:rsid w:val="000C56B2"/>
    <w:rsid w:val="000D2D69"/>
    <w:rsid w:val="000D4D78"/>
    <w:rsid w:val="000D7C2D"/>
    <w:rsid w:val="000E10F0"/>
    <w:rsid w:val="000E73BE"/>
    <w:rsid w:val="000E78D0"/>
    <w:rsid w:val="000F48FA"/>
    <w:rsid w:val="0010092E"/>
    <w:rsid w:val="00104EDA"/>
    <w:rsid w:val="00110153"/>
    <w:rsid w:val="00120D82"/>
    <w:rsid w:val="001268E3"/>
    <w:rsid w:val="001309B1"/>
    <w:rsid w:val="001313AE"/>
    <w:rsid w:val="00132C57"/>
    <w:rsid w:val="0013364D"/>
    <w:rsid w:val="00135430"/>
    <w:rsid w:val="001367D4"/>
    <w:rsid w:val="00136A43"/>
    <w:rsid w:val="001413D4"/>
    <w:rsid w:val="00145628"/>
    <w:rsid w:val="0014796E"/>
    <w:rsid w:val="00153ED0"/>
    <w:rsid w:val="0017031E"/>
    <w:rsid w:val="00176953"/>
    <w:rsid w:val="001810AB"/>
    <w:rsid w:val="001965EE"/>
    <w:rsid w:val="00197C11"/>
    <w:rsid w:val="001A4B9B"/>
    <w:rsid w:val="001A522D"/>
    <w:rsid w:val="001A5633"/>
    <w:rsid w:val="001B050D"/>
    <w:rsid w:val="001B3635"/>
    <w:rsid w:val="001B5E61"/>
    <w:rsid w:val="001B700D"/>
    <w:rsid w:val="001D12AC"/>
    <w:rsid w:val="001D1F45"/>
    <w:rsid w:val="001D284E"/>
    <w:rsid w:val="001D7001"/>
    <w:rsid w:val="001F21B7"/>
    <w:rsid w:val="001F2850"/>
    <w:rsid w:val="00204CF4"/>
    <w:rsid w:val="002120D4"/>
    <w:rsid w:val="002203C8"/>
    <w:rsid w:val="00230868"/>
    <w:rsid w:val="00233EFB"/>
    <w:rsid w:val="00235EA9"/>
    <w:rsid w:val="00240F28"/>
    <w:rsid w:val="0024603B"/>
    <w:rsid w:val="00250831"/>
    <w:rsid w:val="00252DBC"/>
    <w:rsid w:val="00254945"/>
    <w:rsid w:val="00256E67"/>
    <w:rsid w:val="00260A91"/>
    <w:rsid w:val="0026124D"/>
    <w:rsid w:val="00261CFA"/>
    <w:rsid w:val="00261D7B"/>
    <w:rsid w:val="00263C9C"/>
    <w:rsid w:val="00266DF7"/>
    <w:rsid w:val="002679D4"/>
    <w:rsid w:val="00272766"/>
    <w:rsid w:val="00273A9A"/>
    <w:rsid w:val="00276C2D"/>
    <w:rsid w:val="002A0CF2"/>
    <w:rsid w:val="002A2A22"/>
    <w:rsid w:val="002A3798"/>
    <w:rsid w:val="002B1248"/>
    <w:rsid w:val="002B523B"/>
    <w:rsid w:val="002B536E"/>
    <w:rsid w:val="002C6CDF"/>
    <w:rsid w:val="002D3B46"/>
    <w:rsid w:val="002D5DC0"/>
    <w:rsid w:val="002E2E01"/>
    <w:rsid w:val="002E3C0A"/>
    <w:rsid w:val="002E3E5D"/>
    <w:rsid w:val="002E74C7"/>
    <w:rsid w:val="002F1C2D"/>
    <w:rsid w:val="002F2AEE"/>
    <w:rsid w:val="002F34AE"/>
    <w:rsid w:val="002F429C"/>
    <w:rsid w:val="002F4631"/>
    <w:rsid w:val="002F5903"/>
    <w:rsid w:val="002F76DC"/>
    <w:rsid w:val="00300B6E"/>
    <w:rsid w:val="00305D4B"/>
    <w:rsid w:val="0031745C"/>
    <w:rsid w:val="0032212B"/>
    <w:rsid w:val="00322464"/>
    <w:rsid w:val="003224E9"/>
    <w:rsid w:val="00341370"/>
    <w:rsid w:val="00341ADC"/>
    <w:rsid w:val="00342E83"/>
    <w:rsid w:val="0034408A"/>
    <w:rsid w:val="0034431E"/>
    <w:rsid w:val="00344F24"/>
    <w:rsid w:val="00345009"/>
    <w:rsid w:val="00347FFE"/>
    <w:rsid w:val="00350C41"/>
    <w:rsid w:val="00361306"/>
    <w:rsid w:val="00362056"/>
    <w:rsid w:val="00367070"/>
    <w:rsid w:val="00372240"/>
    <w:rsid w:val="00375186"/>
    <w:rsid w:val="00383C91"/>
    <w:rsid w:val="0038725A"/>
    <w:rsid w:val="003953F8"/>
    <w:rsid w:val="00395E5A"/>
    <w:rsid w:val="00397C57"/>
    <w:rsid w:val="003A7101"/>
    <w:rsid w:val="003B3D23"/>
    <w:rsid w:val="003C3EDB"/>
    <w:rsid w:val="003C670D"/>
    <w:rsid w:val="003C6F1A"/>
    <w:rsid w:val="003E1AAD"/>
    <w:rsid w:val="003E4D5A"/>
    <w:rsid w:val="003E7A73"/>
    <w:rsid w:val="003F1B50"/>
    <w:rsid w:val="003F6BFA"/>
    <w:rsid w:val="003F7376"/>
    <w:rsid w:val="00401153"/>
    <w:rsid w:val="00401D36"/>
    <w:rsid w:val="004034F4"/>
    <w:rsid w:val="00407F1E"/>
    <w:rsid w:val="004161D8"/>
    <w:rsid w:val="00416858"/>
    <w:rsid w:val="004179F9"/>
    <w:rsid w:val="004244BC"/>
    <w:rsid w:val="00425333"/>
    <w:rsid w:val="0045454C"/>
    <w:rsid w:val="004547C4"/>
    <w:rsid w:val="0045492A"/>
    <w:rsid w:val="00460416"/>
    <w:rsid w:val="004606FB"/>
    <w:rsid w:val="00463464"/>
    <w:rsid w:val="00467400"/>
    <w:rsid w:val="00467A1D"/>
    <w:rsid w:val="00470D10"/>
    <w:rsid w:val="004741AD"/>
    <w:rsid w:val="004770C3"/>
    <w:rsid w:val="00480D20"/>
    <w:rsid w:val="00480F19"/>
    <w:rsid w:val="00482138"/>
    <w:rsid w:val="00483131"/>
    <w:rsid w:val="00484772"/>
    <w:rsid w:val="00484F05"/>
    <w:rsid w:val="004854C1"/>
    <w:rsid w:val="00486FAD"/>
    <w:rsid w:val="00494C76"/>
    <w:rsid w:val="00496EDA"/>
    <w:rsid w:val="004A17AC"/>
    <w:rsid w:val="004A2349"/>
    <w:rsid w:val="004A6490"/>
    <w:rsid w:val="004B00F7"/>
    <w:rsid w:val="004B0290"/>
    <w:rsid w:val="004B2463"/>
    <w:rsid w:val="004B3D05"/>
    <w:rsid w:val="004C4D64"/>
    <w:rsid w:val="004C6EFF"/>
    <w:rsid w:val="004D3451"/>
    <w:rsid w:val="004F3439"/>
    <w:rsid w:val="005059A5"/>
    <w:rsid w:val="00506997"/>
    <w:rsid w:val="005115EF"/>
    <w:rsid w:val="00521692"/>
    <w:rsid w:val="00532AFC"/>
    <w:rsid w:val="00532B2C"/>
    <w:rsid w:val="00545777"/>
    <w:rsid w:val="00546132"/>
    <w:rsid w:val="00547A6E"/>
    <w:rsid w:val="00547B0C"/>
    <w:rsid w:val="00553E45"/>
    <w:rsid w:val="00554353"/>
    <w:rsid w:val="0055438A"/>
    <w:rsid w:val="005549C6"/>
    <w:rsid w:val="00554DF9"/>
    <w:rsid w:val="00557273"/>
    <w:rsid w:val="00562C84"/>
    <w:rsid w:val="00564D49"/>
    <w:rsid w:val="005727AF"/>
    <w:rsid w:val="00572F1F"/>
    <w:rsid w:val="0057309D"/>
    <w:rsid w:val="00575212"/>
    <w:rsid w:val="00583E05"/>
    <w:rsid w:val="00586010"/>
    <w:rsid w:val="00586054"/>
    <w:rsid w:val="00592225"/>
    <w:rsid w:val="00595668"/>
    <w:rsid w:val="0059596A"/>
    <w:rsid w:val="005A0409"/>
    <w:rsid w:val="005A70B5"/>
    <w:rsid w:val="005B0B6F"/>
    <w:rsid w:val="005B42BE"/>
    <w:rsid w:val="005B54DD"/>
    <w:rsid w:val="005B7CB1"/>
    <w:rsid w:val="005D0E4D"/>
    <w:rsid w:val="005D11EB"/>
    <w:rsid w:val="005D572E"/>
    <w:rsid w:val="005D57B6"/>
    <w:rsid w:val="005E0871"/>
    <w:rsid w:val="005E3905"/>
    <w:rsid w:val="005E5CE0"/>
    <w:rsid w:val="005E6BB0"/>
    <w:rsid w:val="005F7D2A"/>
    <w:rsid w:val="006023F3"/>
    <w:rsid w:val="00616717"/>
    <w:rsid w:val="00617CA0"/>
    <w:rsid w:val="00620DAB"/>
    <w:rsid w:val="006240D0"/>
    <w:rsid w:val="006242FE"/>
    <w:rsid w:val="00627244"/>
    <w:rsid w:val="006372CD"/>
    <w:rsid w:val="00640254"/>
    <w:rsid w:val="006460C9"/>
    <w:rsid w:val="006515C5"/>
    <w:rsid w:val="00665334"/>
    <w:rsid w:val="00665BB0"/>
    <w:rsid w:val="00671716"/>
    <w:rsid w:val="006858EF"/>
    <w:rsid w:val="006873FC"/>
    <w:rsid w:val="00687434"/>
    <w:rsid w:val="006A0523"/>
    <w:rsid w:val="006A2D09"/>
    <w:rsid w:val="006A3FF1"/>
    <w:rsid w:val="006A404E"/>
    <w:rsid w:val="006A76F7"/>
    <w:rsid w:val="006B49EB"/>
    <w:rsid w:val="006B7E8F"/>
    <w:rsid w:val="006C5328"/>
    <w:rsid w:val="006D091D"/>
    <w:rsid w:val="006D371A"/>
    <w:rsid w:val="006D7B8C"/>
    <w:rsid w:val="006E0475"/>
    <w:rsid w:val="006E1FD7"/>
    <w:rsid w:val="006E6FEC"/>
    <w:rsid w:val="006E76EC"/>
    <w:rsid w:val="006F7E21"/>
    <w:rsid w:val="007046D5"/>
    <w:rsid w:val="00711394"/>
    <w:rsid w:val="007118F3"/>
    <w:rsid w:val="00711C85"/>
    <w:rsid w:val="00712FF5"/>
    <w:rsid w:val="00717D4C"/>
    <w:rsid w:val="00720E4C"/>
    <w:rsid w:val="007225E7"/>
    <w:rsid w:val="00722612"/>
    <w:rsid w:val="007236E3"/>
    <w:rsid w:val="007237CF"/>
    <w:rsid w:val="007302F8"/>
    <w:rsid w:val="00731EB5"/>
    <w:rsid w:val="00737D50"/>
    <w:rsid w:val="0074449A"/>
    <w:rsid w:val="0074648E"/>
    <w:rsid w:val="0075117D"/>
    <w:rsid w:val="007512B5"/>
    <w:rsid w:val="00754A6A"/>
    <w:rsid w:val="00762212"/>
    <w:rsid w:val="00765DA8"/>
    <w:rsid w:val="00781DA8"/>
    <w:rsid w:val="00784A35"/>
    <w:rsid w:val="00786A8A"/>
    <w:rsid w:val="007A04FD"/>
    <w:rsid w:val="007A2AF2"/>
    <w:rsid w:val="007A3DB2"/>
    <w:rsid w:val="007A5704"/>
    <w:rsid w:val="007B3041"/>
    <w:rsid w:val="007B64A0"/>
    <w:rsid w:val="007C1791"/>
    <w:rsid w:val="007C3A99"/>
    <w:rsid w:val="007C4C0D"/>
    <w:rsid w:val="007C53A8"/>
    <w:rsid w:val="007D3A1A"/>
    <w:rsid w:val="007F0964"/>
    <w:rsid w:val="00801220"/>
    <w:rsid w:val="0081116C"/>
    <w:rsid w:val="00811170"/>
    <w:rsid w:val="008176BA"/>
    <w:rsid w:val="00820086"/>
    <w:rsid w:val="0083228E"/>
    <w:rsid w:val="008366AF"/>
    <w:rsid w:val="00841B22"/>
    <w:rsid w:val="00845894"/>
    <w:rsid w:val="008502C2"/>
    <w:rsid w:val="00850565"/>
    <w:rsid w:val="008523BA"/>
    <w:rsid w:val="00854250"/>
    <w:rsid w:val="008564AD"/>
    <w:rsid w:val="0085772B"/>
    <w:rsid w:val="00866E3E"/>
    <w:rsid w:val="00867900"/>
    <w:rsid w:val="00872277"/>
    <w:rsid w:val="00877E05"/>
    <w:rsid w:val="0088051E"/>
    <w:rsid w:val="00880F43"/>
    <w:rsid w:val="00891F73"/>
    <w:rsid w:val="00893824"/>
    <w:rsid w:val="0089485F"/>
    <w:rsid w:val="008A1F71"/>
    <w:rsid w:val="008A1FAA"/>
    <w:rsid w:val="008A5134"/>
    <w:rsid w:val="008A6FA4"/>
    <w:rsid w:val="008B19D6"/>
    <w:rsid w:val="008C599B"/>
    <w:rsid w:val="008D016A"/>
    <w:rsid w:val="008D2DCC"/>
    <w:rsid w:val="008F1053"/>
    <w:rsid w:val="008F67F2"/>
    <w:rsid w:val="00903A53"/>
    <w:rsid w:val="0090512C"/>
    <w:rsid w:val="00905421"/>
    <w:rsid w:val="00915CA8"/>
    <w:rsid w:val="009225E2"/>
    <w:rsid w:val="00961CCB"/>
    <w:rsid w:val="00973302"/>
    <w:rsid w:val="00976612"/>
    <w:rsid w:val="009769F3"/>
    <w:rsid w:val="00977B6B"/>
    <w:rsid w:val="009843C4"/>
    <w:rsid w:val="00995A68"/>
    <w:rsid w:val="0099718C"/>
    <w:rsid w:val="009A3377"/>
    <w:rsid w:val="009A355F"/>
    <w:rsid w:val="009A6BC7"/>
    <w:rsid w:val="009A7091"/>
    <w:rsid w:val="009B0FD5"/>
    <w:rsid w:val="009B4352"/>
    <w:rsid w:val="009B630D"/>
    <w:rsid w:val="009B7C69"/>
    <w:rsid w:val="009C715B"/>
    <w:rsid w:val="009D138E"/>
    <w:rsid w:val="009D280A"/>
    <w:rsid w:val="009D3208"/>
    <w:rsid w:val="009D4A6F"/>
    <w:rsid w:val="009D5305"/>
    <w:rsid w:val="009E3E9A"/>
    <w:rsid w:val="009E5672"/>
    <w:rsid w:val="009F40D5"/>
    <w:rsid w:val="00A13D80"/>
    <w:rsid w:val="00A13F4D"/>
    <w:rsid w:val="00A15A7D"/>
    <w:rsid w:val="00A17B09"/>
    <w:rsid w:val="00A27F9A"/>
    <w:rsid w:val="00A34A48"/>
    <w:rsid w:val="00A36B56"/>
    <w:rsid w:val="00A41392"/>
    <w:rsid w:val="00A42057"/>
    <w:rsid w:val="00A425A1"/>
    <w:rsid w:val="00A477D0"/>
    <w:rsid w:val="00A47A1E"/>
    <w:rsid w:val="00A5523E"/>
    <w:rsid w:val="00A62451"/>
    <w:rsid w:val="00A710B8"/>
    <w:rsid w:val="00A755A4"/>
    <w:rsid w:val="00A7716C"/>
    <w:rsid w:val="00A81423"/>
    <w:rsid w:val="00A836C4"/>
    <w:rsid w:val="00A91468"/>
    <w:rsid w:val="00A96F5B"/>
    <w:rsid w:val="00A97218"/>
    <w:rsid w:val="00AA271B"/>
    <w:rsid w:val="00AA4B45"/>
    <w:rsid w:val="00AB184B"/>
    <w:rsid w:val="00AB297F"/>
    <w:rsid w:val="00AB405C"/>
    <w:rsid w:val="00AC5B8B"/>
    <w:rsid w:val="00AC62CB"/>
    <w:rsid w:val="00AD053B"/>
    <w:rsid w:val="00AD17FB"/>
    <w:rsid w:val="00AD48C2"/>
    <w:rsid w:val="00AD57CC"/>
    <w:rsid w:val="00AD6612"/>
    <w:rsid w:val="00AE2A10"/>
    <w:rsid w:val="00AE4AA1"/>
    <w:rsid w:val="00AE757E"/>
    <w:rsid w:val="00AF0BAB"/>
    <w:rsid w:val="00AF0CD6"/>
    <w:rsid w:val="00AF7000"/>
    <w:rsid w:val="00AF763D"/>
    <w:rsid w:val="00B002E4"/>
    <w:rsid w:val="00B00D37"/>
    <w:rsid w:val="00B01689"/>
    <w:rsid w:val="00B0525E"/>
    <w:rsid w:val="00B150CC"/>
    <w:rsid w:val="00B269C1"/>
    <w:rsid w:val="00B30A61"/>
    <w:rsid w:val="00B36F0E"/>
    <w:rsid w:val="00B37361"/>
    <w:rsid w:val="00B3746C"/>
    <w:rsid w:val="00B4136D"/>
    <w:rsid w:val="00B43305"/>
    <w:rsid w:val="00B45E23"/>
    <w:rsid w:val="00B5193D"/>
    <w:rsid w:val="00B51F9D"/>
    <w:rsid w:val="00B63D44"/>
    <w:rsid w:val="00B63D71"/>
    <w:rsid w:val="00B65637"/>
    <w:rsid w:val="00B67BC2"/>
    <w:rsid w:val="00B70EB8"/>
    <w:rsid w:val="00B714B7"/>
    <w:rsid w:val="00B97362"/>
    <w:rsid w:val="00BA64F9"/>
    <w:rsid w:val="00BB0925"/>
    <w:rsid w:val="00BB175C"/>
    <w:rsid w:val="00BB5B25"/>
    <w:rsid w:val="00BC2135"/>
    <w:rsid w:val="00BC3C28"/>
    <w:rsid w:val="00BD0C4D"/>
    <w:rsid w:val="00BE2C86"/>
    <w:rsid w:val="00BE74E6"/>
    <w:rsid w:val="00BF711B"/>
    <w:rsid w:val="00C101A3"/>
    <w:rsid w:val="00C1105D"/>
    <w:rsid w:val="00C124AD"/>
    <w:rsid w:val="00C17028"/>
    <w:rsid w:val="00C23458"/>
    <w:rsid w:val="00C26356"/>
    <w:rsid w:val="00C364DC"/>
    <w:rsid w:val="00C43E13"/>
    <w:rsid w:val="00C4614D"/>
    <w:rsid w:val="00C508A9"/>
    <w:rsid w:val="00C51A98"/>
    <w:rsid w:val="00C539B1"/>
    <w:rsid w:val="00C623A9"/>
    <w:rsid w:val="00C72E87"/>
    <w:rsid w:val="00C72F90"/>
    <w:rsid w:val="00C73ABA"/>
    <w:rsid w:val="00C82122"/>
    <w:rsid w:val="00C82421"/>
    <w:rsid w:val="00C8683A"/>
    <w:rsid w:val="00C97EA0"/>
    <w:rsid w:val="00CA4024"/>
    <w:rsid w:val="00CA5376"/>
    <w:rsid w:val="00CB6F45"/>
    <w:rsid w:val="00CB70C9"/>
    <w:rsid w:val="00CC3F62"/>
    <w:rsid w:val="00CD49F6"/>
    <w:rsid w:val="00CD5000"/>
    <w:rsid w:val="00CE565E"/>
    <w:rsid w:val="00CF12E4"/>
    <w:rsid w:val="00CF4E85"/>
    <w:rsid w:val="00D03167"/>
    <w:rsid w:val="00D143E9"/>
    <w:rsid w:val="00D177F0"/>
    <w:rsid w:val="00D24A0B"/>
    <w:rsid w:val="00D278A0"/>
    <w:rsid w:val="00D3106E"/>
    <w:rsid w:val="00D42A20"/>
    <w:rsid w:val="00D42B39"/>
    <w:rsid w:val="00D438FA"/>
    <w:rsid w:val="00D45520"/>
    <w:rsid w:val="00D566F8"/>
    <w:rsid w:val="00D60C88"/>
    <w:rsid w:val="00D61D98"/>
    <w:rsid w:val="00D87D3B"/>
    <w:rsid w:val="00D93010"/>
    <w:rsid w:val="00DA6040"/>
    <w:rsid w:val="00DB24A6"/>
    <w:rsid w:val="00DB42D5"/>
    <w:rsid w:val="00DC2A3D"/>
    <w:rsid w:val="00DC6661"/>
    <w:rsid w:val="00DD3A9E"/>
    <w:rsid w:val="00DE11A4"/>
    <w:rsid w:val="00DE641C"/>
    <w:rsid w:val="00DE7FEE"/>
    <w:rsid w:val="00DF78CE"/>
    <w:rsid w:val="00E0268D"/>
    <w:rsid w:val="00E045C1"/>
    <w:rsid w:val="00E16887"/>
    <w:rsid w:val="00E178B0"/>
    <w:rsid w:val="00E201EE"/>
    <w:rsid w:val="00E20B28"/>
    <w:rsid w:val="00E24099"/>
    <w:rsid w:val="00E25044"/>
    <w:rsid w:val="00E32982"/>
    <w:rsid w:val="00E35A4D"/>
    <w:rsid w:val="00E464D2"/>
    <w:rsid w:val="00E5122F"/>
    <w:rsid w:val="00E51798"/>
    <w:rsid w:val="00E549E2"/>
    <w:rsid w:val="00E60647"/>
    <w:rsid w:val="00E60A0F"/>
    <w:rsid w:val="00E60D0B"/>
    <w:rsid w:val="00E6231C"/>
    <w:rsid w:val="00E64C14"/>
    <w:rsid w:val="00E73DE2"/>
    <w:rsid w:val="00E8436E"/>
    <w:rsid w:val="00EB3E92"/>
    <w:rsid w:val="00EC35E0"/>
    <w:rsid w:val="00EC4DA4"/>
    <w:rsid w:val="00ED5A50"/>
    <w:rsid w:val="00EE160B"/>
    <w:rsid w:val="00EE1F1C"/>
    <w:rsid w:val="00EF53F6"/>
    <w:rsid w:val="00EF56F4"/>
    <w:rsid w:val="00F06739"/>
    <w:rsid w:val="00F10F50"/>
    <w:rsid w:val="00F14DE4"/>
    <w:rsid w:val="00F15559"/>
    <w:rsid w:val="00F1650C"/>
    <w:rsid w:val="00F2749B"/>
    <w:rsid w:val="00F27C53"/>
    <w:rsid w:val="00F30B1F"/>
    <w:rsid w:val="00F33B64"/>
    <w:rsid w:val="00F54A98"/>
    <w:rsid w:val="00F6306E"/>
    <w:rsid w:val="00F655B4"/>
    <w:rsid w:val="00F6765B"/>
    <w:rsid w:val="00F75BAE"/>
    <w:rsid w:val="00F80F83"/>
    <w:rsid w:val="00F81B19"/>
    <w:rsid w:val="00F90B9D"/>
    <w:rsid w:val="00F966D9"/>
    <w:rsid w:val="00FA38B0"/>
    <w:rsid w:val="00FB079B"/>
    <w:rsid w:val="00FB0ED2"/>
    <w:rsid w:val="00FC084B"/>
    <w:rsid w:val="00FC27E3"/>
    <w:rsid w:val="00FC289D"/>
    <w:rsid w:val="00FC6E22"/>
    <w:rsid w:val="00FC72C2"/>
    <w:rsid w:val="00FD0474"/>
    <w:rsid w:val="00FD0652"/>
    <w:rsid w:val="00FD2A4C"/>
    <w:rsid w:val="00FD2FDB"/>
    <w:rsid w:val="00FE2358"/>
    <w:rsid w:val="00FF39DC"/>
    <w:rsid w:val="00FF67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16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76EC"/>
    <w:pPr>
      <w:spacing w:after="0" w:line="240" w:lineRule="auto"/>
    </w:pPr>
    <w:rPr>
      <w:rFonts w:ascii="Times New Roman" w:eastAsia="Times New Roman" w:hAnsi="Times New Roman"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A1FAA"/>
    <w:pPr>
      <w:tabs>
        <w:tab w:val="center" w:pos="4536"/>
        <w:tab w:val="right" w:pos="9072"/>
      </w:tabs>
    </w:pPr>
    <w:rPr>
      <w:sz w:val="24"/>
      <w:szCs w:val="24"/>
    </w:rPr>
  </w:style>
  <w:style w:type="character" w:customStyle="1" w:styleId="NagwekZnak">
    <w:name w:val="Nagłówek Znak"/>
    <w:basedOn w:val="Domylnaczcionkaakapitu"/>
    <w:link w:val="Nagwek"/>
    <w:uiPriority w:val="99"/>
    <w:rsid w:val="008A1FAA"/>
    <w:rPr>
      <w:rFonts w:ascii="Times New Roman" w:eastAsia="Times New Roman" w:hAnsi="Times New Roman" w:cs="Times New Roman"/>
      <w:sz w:val="24"/>
      <w:szCs w:val="24"/>
    </w:rPr>
  </w:style>
  <w:style w:type="paragraph" w:styleId="Stopka">
    <w:name w:val="footer"/>
    <w:basedOn w:val="Normalny"/>
    <w:link w:val="StopkaZnak"/>
    <w:uiPriority w:val="99"/>
    <w:rsid w:val="008A1FAA"/>
    <w:pPr>
      <w:tabs>
        <w:tab w:val="center" w:pos="4536"/>
        <w:tab w:val="right" w:pos="9072"/>
      </w:tabs>
    </w:pPr>
    <w:rPr>
      <w:sz w:val="24"/>
      <w:szCs w:val="24"/>
    </w:rPr>
  </w:style>
  <w:style w:type="character" w:customStyle="1" w:styleId="StopkaZnak">
    <w:name w:val="Stopka Znak"/>
    <w:basedOn w:val="Domylnaczcionkaakapitu"/>
    <w:link w:val="Stopka"/>
    <w:uiPriority w:val="99"/>
    <w:rsid w:val="008A1FAA"/>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8A1FAA"/>
    <w:rPr>
      <w:color w:val="0000FF"/>
      <w:u w:val="single"/>
    </w:rPr>
  </w:style>
  <w:style w:type="paragraph" w:styleId="NormalnyWeb">
    <w:name w:val="Normal (Web)"/>
    <w:basedOn w:val="Normalny"/>
    <w:uiPriority w:val="99"/>
    <w:unhideWhenUsed/>
    <w:rsid w:val="006E76EC"/>
    <w:pPr>
      <w:spacing w:before="100" w:beforeAutospacing="1" w:after="100" w:afterAutospacing="1"/>
    </w:pPr>
    <w:rPr>
      <w:sz w:val="24"/>
      <w:szCs w:val="24"/>
    </w:rPr>
  </w:style>
  <w:style w:type="character" w:customStyle="1" w:styleId="Nierozpoznanawzmianka1">
    <w:name w:val="Nierozpoznana wzmianka1"/>
    <w:basedOn w:val="Domylnaczcionkaakapitu"/>
    <w:uiPriority w:val="99"/>
    <w:semiHidden/>
    <w:unhideWhenUsed/>
    <w:rsid w:val="000251AB"/>
    <w:rPr>
      <w:color w:val="605E5C"/>
      <w:shd w:val="clear" w:color="auto" w:fill="E1DFDD"/>
    </w:rPr>
  </w:style>
  <w:style w:type="paragraph" w:styleId="Akapitzlist">
    <w:name w:val="List Paragraph"/>
    <w:basedOn w:val="Normalny"/>
    <w:uiPriority w:val="34"/>
    <w:qFormat/>
    <w:rsid w:val="00A91468"/>
    <w:pPr>
      <w:spacing w:after="200" w:line="276" w:lineRule="auto"/>
      <w:ind w:left="720"/>
      <w:contextualSpacing/>
    </w:pPr>
    <w:rPr>
      <w:rFonts w:asciiTheme="minorHAnsi" w:eastAsiaTheme="minorEastAsia" w:hAnsiTheme="minorHAnsi" w:cstheme="minorBidi"/>
      <w:sz w:val="22"/>
      <w:szCs w:val="22"/>
    </w:rPr>
  </w:style>
  <w:style w:type="paragraph" w:styleId="Tekstprzypisukocowego">
    <w:name w:val="endnote text"/>
    <w:basedOn w:val="Normalny"/>
    <w:link w:val="TekstprzypisukocowegoZnak"/>
    <w:uiPriority w:val="99"/>
    <w:semiHidden/>
    <w:unhideWhenUsed/>
    <w:rsid w:val="008366AF"/>
  </w:style>
  <w:style w:type="character" w:customStyle="1" w:styleId="TekstprzypisukocowegoZnak">
    <w:name w:val="Tekst przypisu końcowego Znak"/>
    <w:basedOn w:val="Domylnaczcionkaakapitu"/>
    <w:link w:val="Tekstprzypisukocowego"/>
    <w:uiPriority w:val="99"/>
    <w:semiHidden/>
    <w:rsid w:val="008366AF"/>
    <w:rPr>
      <w:rFonts w:ascii="Times New Roman" w:eastAsia="Times New Roman" w:hAnsi="Times New Roman" w:cs="Times New Roman"/>
      <w:sz w:val="20"/>
      <w:szCs w:val="20"/>
    </w:rPr>
  </w:style>
  <w:style w:type="character" w:styleId="Odwoanieprzypisukocowego">
    <w:name w:val="endnote reference"/>
    <w:basedOn w:val="Domylnaczcionkaakapitu"/>
    <w:uiPriority w:val="99"/>
    <w:semiHidden/>
    <w:unhideWhenUsed/>
    <w:rsid w:val="008366AF"/>
    <w:rPr>
      <w:vertAlign w:val="superscript"/>
    </w:rPr>
  </w:style>
  <w:style w:type="paragraph" w:styleId="Tekstdymka">
    <w:name w:val="Balloon Text"/>
    <w:basedOn w:val="Normalny"/>
    <w:link w:val="TekstdymkaZnak"/>
    <w:uiPriority w:val="99"/>
    <w:semiHidden/>
    <w:unhideWhenUsed/>
    <w:rsid w:val="00872277"/>
    <w:rPr>
      <w:rFonts w:ascii="Tahoma" w:hAnsi="Tahoma" w:cs="Tahoma"/>
      <w:sz w:val="16"/>
      <w:szCs w:val="16"/>
    </w:rPr>
  </w:style>
  <w:style w:type="character" w:customStyle="1" w:styleId="TekstdymkaZnak">
    <w:name w:val="Tekst dymka Znak"/>
    <w:basedOn w:val="Domylnaczcionkaakapitu"/>
    <w:link w:val="Tekstdymka"/>
    <w:uiPriority w:val="99"/>
    <w:semiHidden/>
    <w:rsid w:val="00872277"/>
    <w:rPr>
      <w:rFonts w:ascii="Tahoma" w:eastAsia="Times New Roman" w:hAnsi="Tahoma" w:cs="Tahoma"/>
      <w:sz w:val="16"/>
      <w:szCs w:val="16"/>
    </w:rPr>
  </w:style>
  <w:style w:type="character" w:styleId="Odwoaniedokomentarza">
    <w:name w:val="annotation reference"/>
    <w:basedOn w:val="Domylnaczcionkaakapitu"/>
    <w:uiPriority w:val="99"/>
    <w:semiHidden/>
    <w:unhideWhenUsed/>
    <w:rsid w:val="00B63D44"/>
    <w:rPr>
      <w:sz w:val="16"/>
      <w:szCs w:val="16"/>
    </w:rPr>
  </w:style>
  <w:style w:type="paragraph" w:styleId="Tekstkomentarza">
    <w:name w:val="annotation text"/>
    <w:basedOn w:val="Normalny"/>
    <w:link w:val="TekstkomentarzaZnak"/>
    <w:uiPriority w:val="99"/>
    <w:semiHidden/>
    <w:unhideWhenUsed/>
    <w:rsid w:val="00B63D44"/>
  </w:style>
  <w:style w:type="character" w:customStyle="1" w:styleId="TekstkomentarzaZnak">
    <w:name w:val="Tekst komentarza Znak"/>
    <w:basedOn w:val="Domylnaczcionkaakapitu"/>
    <w:link w:val="Tekstkomentarza"/>
    <w:uiPriority w:val="99"/>
    <w:semiHidden/>
    <w:rsid w:val="00B63D4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B63D44"/>
    <w:rPr>
      <w:b/>
      <w:bCs/>
    </w:rPr>
  </w:style>
  <w:style w:type="character" w:customStyle="1" w:styleId="TematkomentarzaZnak">
    <w:name w:val="Temat komentarza Znak"/>
    <w:basedOn w:val="TekstkomentarzaZnak"/>
    <w:link w:val="Tematkomentarza"/>
    <w:uiPriority w:val="99"/>
    <w:semiHidden/>
    <w:rsid w:val="00B63D44"/>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76EC"/>
    <w:pPr>
      <w:spacing w:after="0" w:line="240" w:lineRule="auto"/>
    </w:pPr>
    <w:rPr>
      <w:rFonts w:ascii="Times New Roman" w:eastAsia="Times New Roman" w:hAnsi="Times New Roman"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A1FAA"/>
    <w:pPr>
      <w:tabs>
        <w:tab w:val="center" w:pos="4536"/>
        <w:tab w:val="right" w:pos="9072"/>
      </w:tabs>
    </w:pPr>
    <w:rPr>
      <w:sz w:val="24"/>
      <w:szCs w:val="24"/>
    </w:rPr>
  </w:style>
  <w:style w:type="character" w:customStyle="1" w:styleId="NagwekZnak">
    <w:name w:val="Nagłówek Znak"/>
    <w:basedOn w:val="Domylnaczcionkaakapitu"/>
    <w:link w:val="Nagwek"/>
    <w:uiPriority w:val="99"/>
    <w:rsid w:val="008A1FAA"/>
    <w:rPr>
      <w:rFonts w:ascii="Times New Roman" w:eastAsia="Times New Roman" w:hAnsi="Times New Roman" w:cs="Times New Roman"/>
      <w:sz w:val="24"/>
      <w:szCs w:val="24"/>
    </w:rPr>
  </w:style>
  <w:style w:type="paragraph" w:styleId="Stopka">
    <w:name w:val="footer"/>
    <w:basedOn w:val="Normalny"/>
    <w:link w:val="StopkaZnak"/>
    <w:uiPriority w:val="99"/>
    <w:rsid w:val="008A1FAA"/>
    <w:pPr>
      <w:tabs>
        <w:tab w:val="center" w:pos="4536"/>
        <w:tab w:val="right" w:pos="9072"/>
      </w:tabs>
    </w:pPr>
    <w:rPr>
      <w:sz w:val="24"/>
      <w:szCs w:val="24"/>
    </w:rPr>
  </w:style>
  <w:style w:type="character" w:customStyle="1" w:styleId="StopkaZnak">
    <w:name w:val="Stopka Znak"/>
    <w:basedOn w:val="Domylnaczcionkaakapitu"/>
    <w:link w:val="Stopka"/>
    <w:uiPriority w:val="99"/>
    <w:rsid w:val="008A1FAA"/>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8A1FAA"/>
    <w:rPr>
      <w:color w:val="0000FF"/>
      <w:u w:val="single"/>
    </w:rPr>
  </w:style>
  <w:style w:type="paragraph" w:styleId="NormalnyWeb">
    <w:name w:val="Normal (Web)"/>
    <w:basedOn w:val="Normalny"/>
    <w:uiPriority w:val="99"/>
    <w:unhideWhenUsed/>
    <w:rsid w:val="006E76EC"/>
    <w:pPr>
      <w:spacing w:before="100" w:beforeAutospacing="1" w:after="100" w:afterAutospacing="1"/>
    </w:pPr>
    <w:rPr>
      <w:sz w:val="24"/>
      <w:szCs w:val="24"/>
    </w:rPr>
  </w:style>
  <w:style w:type="character" w:customStyle="1" w:styleId="Nierozpoznanawzmianka1">
    <w:name w:val="Nierozpoznana wzmianka1"/>
    <w:basedOn w:val="Domylnaczcionkaakapitu"/>
    <w:uiPriority w:val="99"/>
    <w:semiHidden/>
    <w:unhideWhenUsed/>
    <w:rsid w:val="000251AB"/>
    <w:rPr>
      <w:color w:val="605E5C"/>
      <w:shd w:val="clear" w:color="auto" w:fill="E1DFDD"/>
    </w:rPr>
  </w:style>
  <w:style w:type="paragraph" w:styleId="Akapitzlist">
    <w:name w:val="List Paragraph"/>
    <w:basedOn w:val="Normalny"/>
    <w:uiPriority w:val="34"/>
    <w:qFormat/>
    <w:rsid w:val="00A91468"/>
    <w:pPr>
      <w:spacing w:after="200" w:line="276" w:lineRule="auto"/>
      <w:ind w:left="720"/>
      <w:contextualSpacing/>
    </w:pPr>
    <w:rPr>
      <w:rFonts w:asciiTheme="minorHAnsi" w:eastAsiaTheme="minorEastAsia" w:hAnsiTheme="minorHAnsi" w:cstheme="minorBidi"/>
      <w:sz w:val="22"/>
      <w:szCs w:val="22"/>
    </w:rPr>
  </w:style>
  <w:style w:type="paragraph" w:styleId="Tekstprzypisukocowego">
    <w:name w:val="endnote text"/>
    <w:basedOn w:val="Normalny"/>
    <w:link w:val="TekstprzypisukocowegoZnak"/>
    <w:uiPriority w:val="99"/>
    <w:semiHidden/>
    <w:unhideWhenUsed/>
    <w:rsid w:val="008366AF"/>
  </w:style>
  <w:style w:type="character" w:customStyle="1" w:styleId="TekstprzypisukocowegoZnak">
    <w:name w:val="Tekst przypisu końcowego Znak"/>
    <w:basedOn w:val="Domylnaczcionkaakapitu"/>
    <w:link w:val="Tekstprzypisukocowego"/>
    <w:uiPriority w:val="99"/>
    <w:semiHidden/>
    <w:rsid w:val="008366AF"/>
    <w:rPr>
      <w:rFonts w:ascii="Times New Roman" w:eastAsia="Times New Roman" w:hAnsi="Times New Roman" w:cs="Times New Roman"/>
      <w:sz w:val="20"/>
      <w:szCs w:val="20"/>
    </w:rPr>
  </w:style>
  <w:style w:type="character" w:styleId="Odwoanieprzypisukocowego">
    <w:name w:val="endnote reference"/>
    <w:basedOn w:val="Domylnaczcionkaakapitu"/>
    <w:uiPriority w:val="99"/>
    <w:semiHidden/>
    <w:unhideWhenUsed/>
    <w:rsid w:val="008366AF"/>
    <w:rPr>
      <w:vertAlign w:val="superscript"/>
    </w:rPr>
  </w:style>
  <w:style w:type="paragraph" w:styleId="Tekstdymka">
    <w:name w:val="Balloon Text"/>
    <w:basedOn w:val="Normalny"/>
    <w:link w:val="TekstdymkaZnak"/>
    <w:uiPriority w:val="99"/>
    <w:semiHidden/>
    <w:unhideWhenUsed/>
    <w:rsid w:val="00872277"/>
    <w:rPr>
      <w:rFonts w:ascii="Tahoma" w:hAnsi="Tahoma" w:cs="Tahoma"/>
      <w:sz w:val="16"/>
      <w:szCs w:val="16"/>
    </w:rPr>
  </w:style>
  <w:style w:type="character" w:customStyle="1" w:styleId="TekstdymkaZnak">
    <w:name w:val="Tekst dymka Znak"/>
    <w:basedOn w:val="Domylnaczcionkaakapitu"/>
    <w:link w:val="Tekstdymka"/>
    <w:uiPriority w:val="99"/>
    <w:semiHidden/>
    <w:rsid w:val="00872277"/>
    <w:rPr>
      <w:rFonts w:ascii="Tahoma" w:eastAsia="Times New Roman" w:hAnsi="Tahoma" w:cs="Tahoma"/>
      <w:sz w:val="16"/>
      <w:szCs w:val="16"/>
    </w:rPr>
  </w:style>
  <w:style w:type="character" w:styleId="Odwoaniedokomentarza">
    <w:name w:val="annotation reference"/>
    <w:basedOn w:val="Domylnaczcionkaakapitu"/>
    <w:uiPriority w:val="99"/>
    <w:semiHidden/>
    <w:unhideWhenUsed/>
    <w:rsid w:val="00B63D44"/>
    <w:rPr>
      <w:sz w:val="16"/>
      <w:szCs w:val="16"/>
    </w:rPr>
  </w:style>
  <w:style w:type="paragraph" w:styleId="Tekstkomentarza">
    <w:name w:val="annotation text"/>
    <w:basedOn w:val="Normalny"/>
    <w:link w:val="TekstkomentarzaZnak"/>
    <w:uiPriority w:val="99"/>
    <w:semiHidden/>
    <w:unhideWhenUsed/>
    <w:rsid w:val="00B63D44"/>
  </w:style>
  <w:style w:type="character" w:customStyle="1" w:styleId="TekstkomentarzaZnak">
    <w:name w:val="Tekst komentarza Znak"/>
    <w:basedOn w:val="Domylnaczcionkaakapitu"/>
    <w:link w:val="Tekstkomentarza"/>
    <w:uiPriority w:val="99"/>
    <w:semiHidden/>
    <w:rsid w:val="00B63D4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B63D44"/>
    <w:rPr>
      <w:b/>
      <w:bCs/>
    </w:rPr>
  </w:style>
  <w:style w:type="character" w:customStyle="1" w:styleId="TematkomentarzaZnak">
    <w:name w:val="Temat komentarza Znak"/>
    <w:basedOn w:val="TekstkomentarzaZnak"/>
    <w:link w:val="Tematkomentarza"/>
    <w:uiPriority w:val="99"/>
    <w:semiHidden/>
    <w:rsid w:val="00B63D4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jc@kancelaria-ciborowski.pl"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bor\OneDrive\KANCELARIA\Kancelaria\@Poligrafia\Szablon%20w&#322;a&#347;ciwy%20papier%20firmowy%20JC.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Szablon właściwy papier firmowy JC</Template>
  <TotalTime>1</TotalTime>
  <Pages>3</Pages>
  <Words>5454</Words>
  <Characters>32729</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Ciborowski</dc:creator>
  <cp:lastModifiedBy>Daniel</cp:lastModifiedBy>
  <cp:revision>2</cp:revision>
  <cp:lastPrinted>2022-04-12T09:07:00Z</cp:lastPrinted>
  <dcterms:created xsi:type="dcterms:W3CDTF">2022-04-21T18:12:00Z</dcterms:created>
  <dcterms:modified xsi:type="dcterms:W3CDTF">2022-04-21T18:12:00Z</dcterms:modified>
</cp:coreProperties>
</file>